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xml:space="preserve">江杰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xml:space="preserve">男</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xml:space="preserve">69</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BC-20220705</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白片</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2022-07-06</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2023-07-27</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xml:space="preserve">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7</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35</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1</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22</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3</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7</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 xml:space="preserve">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KRAS</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p.G12V</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考比替尼 + Ipatasertib 【C 级】</w:t>
              <w:br/>
              <w:t xml:space="preserve">贝美替尼 【C 级】</w:t>
              <w:br/>
              <w:t xml:space="preserve">曲美替尼 【D 级】</w:t>
              <w:br/>
              <w:t xml:space="preserve">RMC-6236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西妥昔单抗 【C 级】</w:t>
              <w:br/>
              <w:t xml:space="preserve">曲妥珠单抗 + 妥卡替尼 【C 级】</w:t>
              <w:br/>
              <w:t xml:space="preserve">帕尼单抗 【C 级】</w:t>
              <w:br/>
              <w:t xml:space="preserve">曲妥珠单抗 + 帕妥珠单抗,曲妥珠单抗 + 拉帕替尼,trastuzumab deruxtecan 【C 级】</w:t>
              <w:br/>
              <w:t xml:space="preserve">EGFR-TKI 【C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PIK3CA</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p.Q546K</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阿培利司 【C 级】</w:t>
              <w:br/>
              <w:t xml:space="preserve">RLY-2608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TP53</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p.V73Rfs*76</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培唑帕尼 + 伏立诺他 【C 级】</w:t>
              <w:br/>
              <w:t xml:space="preserve">贝伐珠单抗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CD74-ROS1</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融合</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克唑替尼 【A 级】</w:t>
              <w:br/>
              <w:t xml:space="preserve">恩曲替尼 【A 级】</w:t>
              <w:br/>
              <w:t xml:space="preserve">赛瑞替尼 【A 级】</w:t>
              <w:br/>
              <w:t xml:space="preserve">布格替尼 【A 级】</w:t>
              <w:br/>
              <w:t xml:space="preserve">洛拉替尼 【A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克唑替尼,恩曲替尼 【C 级】</w:t>
              <w:br/>
              <w:t xml:space="preserve">洛普替尼 【B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EML4-ALK</w:t>
            </w:r>
          </w:p>
          <w:p>
            <w:pPr>
              <w:widowControl/>
              <w:jc w:val="center"/>
              <w:rPr>
                <w:rFonts w:hint="eastAsia" w:hAnsi="等线" w:cs="宋体"/>
                <w:b/>
                <w:bCs/>
                <w:i w:val="0"/>
                <w:iCs/>
                <w:color w:val="404040"/>
                <w:sz w:val="18"/>
                <w:szCs w:val="18"/>
                <w:lang w:val="en-US" w:eastAsia="zh-CN" w:bidi="ar"/>
              </w:rPr>
            </w:pPr>
            <w:r>
              <w:rPr>
                <w:rFonts w:hint="eastAsia" w:hAnsi="等线" w:cs="宋体"/>
                <w:b/>
                <w:bCs/>
                <w:i w:val="0"/>
                <w:iCs/>
                <w:color w:val="404040"/>
                <w:sz w:val="18"/>
                <w:szCs w:val="18"/>
                <w:lang w:val="en-US" w:eastAsia="zh-CN" w:bidi="ar"/>
              </w:rPr>
              <w:t>融合</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克唑替尼 【A 级】</w:t>
              <w:br/>
              <w:t xml:space="preserve">阿来替尼 【A 级】</w:t>
              <w:br/>
              <w:t xml:space="preserve">赛瑞替尼 【A 级】</w:t>
              <w:br/>
              <w:t xml:space="preserve">布格替尼 【A 级】</w:t>
              <w:br/>
              <w:t xml:space="preserve">洛拉替尼 【A 级】</w:t>
              <w:br/>
              <w:t xml:space="preserve">恩沙替尼 【A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克唑替尼,赛瑞替尼,布格替尼,洛拉替尼,阿来替尼 【C 级】</w:t>
              <w:br/>
              <w:t xml:space="preserve">ASP3026 【C 级】</w:t>
              <w:br/>
              <w:t xml:space="preserve">恩曲替尼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阿法替尼,厄洛替尼,吉非替尼 【A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 xml:space="preserve">ERBB2</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 xml:space="preserve">扩增</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帕妥珠单抗 + 曲妥珠单抗 + Chemotherapy 【C 级】</w:t>
              <w:br/>
              <w:t xml:space="preserve">妥卡替尼 + Capecitabine + 曲妥珠单抗 【C 级】</w:t>
              <w:br/>
              <w:t xml:space="preserve">拉帕替尼 + capecitabine,拉帕替尼 + Letrozole 【C 级】</w:t>
              <w:br/>
              <w:t xml:space="preserve">恩美曲妥珠单抗 【C 级】</w:t>
              <w:br/>
              <w:t xml:space="preserve">Margetuximab-cmkb + Chemotherapy 【C 级】</w:t>
              <w:br/>
              <w:t xml:space="preserve">奈拉替尼,Capecitabine + 奈拉替尼 【C 级】</w:t>
              <w:br/>
              <w:t xml:space="preserve">曲妥珠单抗 【C 级】</w:t>
              <w:br/>
              <w:t xml:space="preserve">曲妥珠单抗 【C 级】</w:t>
              <w:br/>
              <w:t xml:space="preserve">曲妥珠单抗 【C 级】</w:t>
              <w:br/>
              <w:t xml:space="preserve">Pembrolizumab + 曲妥珠单抗 + Chemotherapy 【C 级】</w:t>
              <w:br/>
              <w:t xml:space="preserve">Fam-trastuzumab deruxtecan-nxki 【C 级】</w:t>
              <w:br/>
              <w:t xml:space="preserve">Fam-trastuzumab deruxtecan-nxki 【C 级】</w:t>
              <w:br/>
              <w:t xml:space="preserve">Fam-trastuzumab deruxtecan-nxki 【C 级】</w:t>
              <w:br/>
              <w:t xml:space="preserve">吡咯替尼 【C 级】</w:t>
              <w:br/>
              <w:t xml:space="preserve">伊尼妥单抗 + Vinorelbine 【C 级】</w:t>
              <w:br/>
              <w:t xml:space="preserve">吡咯替尼 + 曲妥珠单抗 + Docetaxel 【C 级】</w:t>
              <w:br/>
              <w:t xml:space="preserve">吡咯替尼 + 曲妥珠单抗 + Docetaxel 【C 级】</w:t>
              <w:br/>
              <w:t xml:space="preserve">曲妥珠单抗 + Chemotherapy,曲妥珠单抗 + 拉帕替尼 【C 级】</w:t>
              <w:br/>
              <w:t xml:space="preserve">曲妥珠单抗 + Carboplatin-Taxol 【C 级】</w:t>
              <w:br/>
              <w:t xml:space="preserve">曲妥珠单抗 + 帕妥珠单抗 【C 级】</w:t>
              <w:br/>
              <w:t xml:space="preserve">Fam-trastuzumab deruxtecan-nxki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阿法替尼,厄洛替尼,吉非替尼 【A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 xml:space="preserve">MYC</w:t>
            </w:r>
          </w:p>
          <w:p>
            <w:pPr>
              <w:pStyle w:val="18"/>
              <w:widowControl w:val="0"/>
              <w:spacing w:before="0" w:beforeAutospacing="0" w:after="0" w:afterAutospacing="0" w:line="276" w:lineRule="auto"/>
              <w:jc w:val="center"/>
              <w:rPr>
                <w:rFonts w:hint="eastAsia" w:ascii="等线" w:hAnsi="等线"/>
                <w:b/>
                <w:bCs w:val="0"/>
                <w:i w:val="0"/>
                <w:iCs/>
                <w:color w:val="404040"/>
                <w:kern w:val="2"/>
                <w:sz w:val="18"/>
                <w:szCs w:val="18"/>
                <w:lang w:eastAsia="zh-CN" w:bidi="ar"/>
              </w:rPr>
            </w:pPr>
            <w:r>
              <w:rPr>
                <w:rFonts w:hint="eastAsia" w:ascii="等线" w:hAnsi="等线"/>
                <w:b/>
                <w:bCs w:val="0"/>
                <w:i w:val="0"/>
                <w:iCs/>
                <w:color w:val="404040"/>
                <w:kern w:val="2"/>
                <w:sz w:val="18"/>
                <w:szCs w:val="18"/>
                <w:lang w:bidi="ar"/>
              </w:rPr>
              <w:t xml:space="preserve">扩增</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奥希替尼 【C 级】</w:t>
              <w:br/>
              <w:t xml:space="preserve">埃克替尼 【D 级】</w:t>
              <w:br/>
              <w:t xml:space="preserve">ROS1/ALK TKI 【C 级】</w:t>
              <w:br/>
              <w:t xml:space="preserve">卡马替尼 【D 级】</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 xml:space="preserve">MSH2 p.E809K</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 xml:space="preserve">对免疫检查点抑制剂可能敏感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 xml:space="preserve">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奥沙利铂,卡培他滨,替加氟,替吉奥,吉西他滨,伊立替康,紫杉醇,长春新碱</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 xml:space="preserve">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环磷酰胺,卡铂,顺铂,甲氨蝶呤,多西他赛,多柔比星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 xml:space="preserve">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氟尿嘧啶,培美曲塞,依托泊苷,长春瑞滨,丝裂霉素,表柔比星,昂丹司琼,格拉司琼</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 xml:space="preserve">APC p.R876X;p.E1353X</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家族性腺瘤样息肉病</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结直肠癌,小肠腺癌,胰腺癌,甲状腺癌,髓母细胞瘤,肝母细胞瘤,胃癌</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9103147"/>
      <w:bookmarkStart w:id="37" w:name="_Ref80948822"/>
      <w:bookmarkStart w:id="38" w:name="_Toc81378419"/>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CD74:ROS1</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 xml:space="preserve">1.11</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EML4:ALK</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融合</w:t>
            </w:r>
          </w:p>
        </w:tc>
        <w:tc>
          <w:tcPr>
            <w:tcW w:w="1785" w:type="dxa"/>
            <w:tcBorders>
              <w:tl2br w:val="nil"/>
              <w:tr2bl w:val="nil"/>
            </w:tcBorders>
            <w:shd w:val="clear" w:color="auto" w:fill="F2F2F2"/>
            <w:vAlign w:val="center"/>
          </w:tcPr>
          <w:p>
            <w:pPr>
              <w:spacing w:line="360" w:lineRule="auto"/>
              <w:jc w:val="center"/>
              <w:rPr>
                <w:rFonts w:hint="eastAsia" w:hAnsi="等线" w:cs="等线"/>
                <w:color w:val="404040"/>
                <w:sz w:val="20"/>
                <w:szCs w:val="20"/>
                <w:lang w:bidi="ar"/>
              </w:rPr>
            </w:pPr>
            <w:r>
              <w:rPr>
                <w:rFonts w:hint="eastAsia" w:hAnsi="等线" w:cs="等线"/>
                <w:color w:val="404040"/>
                <w:sz w:val="20"/>
                <w:szCs w:val="20"/>
                <w:lang w:bidi="ar"/>
              </w:rPr>
              <w:t xml:space="preserve">4.86</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ERBB2</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xml:space="preserve">扩增</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xml:space="preserve">5.1</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c.35G&gt;T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p.G12V</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PIK3CA</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NM_006218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c.1636C&gt;A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p.Q546K</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c.216dupC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p.V73Rfs*76</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1059"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val="en-US" w:eastAsia="zh-CN" w:bidi="ar"/>
              </w:rPr>
            </w:pPr>
            <w:r>
              <w:rPr>
                <w:rFonts w:hint="eastAsia" w:hAnsi="等线" w:cs="等线"/>
                <w:b/>
                <w:bCs/>
                <w:color w:val="404040"/>
                <w:sz w:val="20"/>
                <w:szCs w:val="20"/>
                <w:lang w:val="en-US" w:eastAsia="zh-CN" w:bidi="ar"/>
              </w:rPr>
              <w:t xml:space="preserve">MYC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64"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601" w:type="dxa"/>
            <w:tcBorders>
              <w:tl2br w:val="nil"/>
              <w:tr2bl w:val="nil"/>
            </w:tcBorders>
            <w:shd w:val="clear" w:color="auto" w:fill="F2F2F2"/>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330" w:type="dxa"/>
            <w:tcBorders>
              <w:tl2br w:val="nil"/>
              <w:tr2bl w:val="nil"/>
            </w:tcBorders>
            <w:shd w:val="clear" w:color="auto" w:fill="F2F2F2"/>
            <w:textDirection w:val="lrTbV"/>
            <w:vAlign w:val="center"/>
          </w:tcPr>
          <w:p>
            <w:pPr>
              <w:widowControl/>
              <w:spacing w:line="360" w:lineRule="auto"/>
              <w:jc w:val="center"/>
              <w:rPr>
                <w:rFonts w:hint="eastAsia" w:hAnsi="等线" w:eastAsia="等线" w:cs="等线"/>
                <w:color w:val="404040"/>
                <w:sz w:val="20"/>
                <w:szCs w:val="20"/>
                <w:lang w:val="en-US" w:eastAsia="zh-CN" w:bidi="ar"/>
              </w:rPr>
            </w:pPr>
            <w:r>
              <w:rPr>
                <w:rFonts w:hint="eastAsia" w:hAnsi="等线" w:cs="等线"/>
                <w:color w:val="404040"/>
                <w:sz w:val="20"/>
                <w:szCs w:val="20"/>
                <w:lang w:val="en-US" w:eastAsia="zh-CN" w:bidi="ar"/>
              </w:rPr>
              <w:t>/</w:t>
            </w:r>
          </w:p>
        </w:tc>
        <w:tc>
          <w:tcPr>
            <w:tcW w:w="1270" w:type="dxa"/>
            <w:tcBorders>
              <w:tl2br w:val="nil"/>
              <w:tr2bl w:val="nil"/>
            </w:tcBorders>
            <w:shd w:val="clear" w:color="auto" w:fill="F2F2F2"/>
            <w:vAlign w:val="center"/>
          </w:tcPr>
          <w:p>
            <w:pPr>
              <w:spacing w:line="360" w:lineRule="auto"/>
              <w:jc w:val="center"/>
              <w:rPr>
                <w:rFonts w:hint="default" w:hAnsi="等线" w:eastAsia="等线" w:cs="等线"/>
                <w:color w:val="404040"/>
                <w:sz w:val="20"/>
                <w:szCs w:val="20"/>
                <w:lang w:val="en-US" w:eastAsia="zh-CN" w:bidi="ar"/>
              </w:rPr>
            </w:pPr>
            <w:r>
              <w:rPr>
                <w:rFonts w:hint="eastAsia" w:hAnsi="等线" w:cs="等线"/>
                <w:color w:val="404040"/>
                <w:sz w:val="20"/>
                <w:szCs w:val="20"/>
                <w:lang w:val="en-US" w:eastAsia="zh-CN" w:bidi="ar"/>
              </w:rPr>
              <w:t xml:space="preserve">扩增</w:t>
            </w:r>
          </w:p>
        </w:tc>
        <w:tc>
          <w:tcPr>
            <w:tcW w:w="1785" w:type="dxa"/>
            <w:tcBorders>
              <w:tl2br w:val="nil"/>
              <w:tr2bl w:val="nil"/>
            </w:tcBorders>
            <w:shd w:val="clear" w:color="auto" w:fill="F2F2F2"/>
            <w:vAlign w:val="center"/>
          </w:tcPr>
          <w:p>
            <w:pPr>
              <w:widowControl/>
              <w:spacing w:line="360" w:lineRule="auto"/>
              <w:jc w:val="center"/>
              <w:rPr>
                <w:rFonts w:hint="eastAsia" w:hAnsi="等线" w:cs="等线"/>
                <w:color w:val="404040"/>
                <w:sz w:val="20"/>
                <w:szCs w:val="20"/>
                <w:lang w:bidi="ar"/>
              </w:rPr>
            </w:pPr>
            <w:r>
              <w:rPr>
                <w:rFonts w:hint="eastAsia" w:hAnsi="等线" w:cs="等线"/>
                <w:color w:val="404040"/>
                <w:sz w:val="20"/>
                <w:szCs w:val="20"/>
                <w:lang w:val="en-US" w:eastAsia="zh-CN" w:bidi="ar"/>
              </w:rPr>
              <w:t xml:space="preserve">6.4</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APC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c.4156A&gt;T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p.R1386X</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c.1352G&gt;A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p.R451H</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c.1994G&gt;A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p.G665D</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exon17</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c.3508C&gt;T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p.P1170S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exon28</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NM_201283</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c.1213A&gt;G</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p.S405G</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FGFR3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NM_000142</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c.670G&gt;A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p.G224S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NF1</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NM_000267</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c.5694G&gt;C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p.E1898D</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exon38</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RET</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NM_020975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c.220G&gt;A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p.G74S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 xml:space="preserve">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基因变异：KRAS:NM_004985:exon2:c.35G&gt;T:p.G12V</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基因变异：PIK3CA:NM_006218:exon10:c.1636C&gt;A:p.Q546K</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PIK3CA基因编码磷脂酰肌醇3-激酶(PI3K)的p110α催化亚基，PI3K是由受体酪氨酸激酶 [例如表皮生长因子受体(EGFR)和人表皮生长受体2 (HER2/ERBB2)] 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PMID: 16453012)。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阿培利司</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在一项I期临床试验中，携带PIK3CA基因突变的晚期实体瘤患者当使用Alpelisib (BYL719)治疗后，58.2% (78/134)的患者病情得到控制，1个患者获得完全缓解，7个部分缓解，70个患者疾病稳定，临床受益率 (CR+PR+SD&gt;24 weeks)为15.7% (21/134)(PMID: 29401002; NCT01219699)。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RLY-2608</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RLY-2608是一种新型PI3Kα抑制剂，一项I期临床研究旨在评估RLY-2608作为单药在PI3KCA突变的晚期实体瘤患者以及与氟维司群联合用于PIK3CA突变，HR+，HER2-转移性乳腺癌（MBC）的中的临床活性。实验正在进行中（Abstract: Perez et al. Abstract# TPS1124, ASCO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基因变异：TP53:NM_000546:exon4:c.216dupC:p.V73Rfs*76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基因变异：CD74:ROS1 融合</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c-ROS原癌基因1(ROS1)是禽类肉瘤病毒UR2转化基因v-ros的人类同源基因，编码胰岛素受体亚家族的受体酪氨酸激酶(RTK)。c-ROS是一种孤儿受体酪氨酸激酶，在肺组织中高度表达，其正常生理性配体未知(PMID: 18778756; PMID: 22500682)。然而，c-ROS与间变性淋巴瘤激酶(ALK)进化相关，其信号可促进PLCγ，MAPK和PI3K信号传导，并影响细胞增殖和细胞间相互作用(PMID: 22500682; PMID: 8999820)。c-ROS的前1861个N-末端密码子构成一个非常大的胞外结构域，而c-ROS的C-末端结构域的464个残基构成细胞质结构域(PMID: 2352949; PMID: 22500682)。c-ROS被确认为非小细胞肺癌(NSCLC)和胆管癌的致癌基因，c-ROS的细胞质激酶结构域与其他N末端伴侣基因融合(PMID: 22500682)。虽然许多下游信号蛋白已被证明与c-ROS相互作用，但ROS1基因融合的转变主要表现为细胞骨架蛋白的磷酸化和PI3K通路的激活(PMID: 8999820; PMID: 11094073; PMID: 11799110; PMID: 12646574; PMID: 22500682)。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克唑替尼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Crizotinib(XALKORI)是一种激酶抑制剂，适用于间变性淋巴瘤激酶(ALK)或ROS1阳性的转移性非小细胞肺癌(NSCLC)(FDA-approval: 01/2021)。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恩曲替尼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ROZLYTREK（Entrectinib）是一种激酶抑制剂，FDA批准Entrectinib用于治疗ROS1阳性的转移性非小细胞肺癌(NSCLC)成人患者(FDA-approval: 08/2019)。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赛瑞替尼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NCCN指南建议使用Ceritinib治疗携带ROS1融合的非小细胞肺癌（NSCLC）(NCCN: Non-Small Cell Lung Cancer-Version 4.2021)。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布格替尼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NCCN指南建议使用Brigatinib治疗携带ROS1融合的非小细胞肺癌（NSCLC）(NCCN: Non-Small Cell Lung Cancer-Version 4.2021)。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洛拉替尼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NCCN指南建议使用Lorlatinib治疗携带ROS1融合的非小细胞肺癌（NSCLC）(NCCN: Non-Small Cell Lung Cancer-Version 4.2021)。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克唑替尼,恩曲替尼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皮肤黑色素瘤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NCCN指南推荐Crizotinib,Entrectinib用于治疗携带融合的皮肤黑色素瘤患者(NCCN: Hepatobiliary Cancers-Version 3.2022)。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洛普替尼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临床I/II期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FDA已经授予 repotrectinib 用于携带ROS1阳性，已接受过一种ROS1 TKI治疗但没有接受过以铂类为基础的化疗的转移性非小细胞肺癌治疗的突破性治疗认定。Repotrectinib对与ROS1融合的患者具有良好的临床效应，且I/II期研究结果表明，repotrectinib在ROS1融合晚期非小细胞肺癌患者中耐受性良好。（FDA breakthrough therapy designation;Abstract: Cho et al. Abstract# MA11.07, IASLC 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基因变异：EML4:ALK 融合</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ALK (人类间变性淋巴瘤激酶)是一种受体酪氨酸激酶，属于胰岛素受体家族。野生型ALK在神经系统的发育中起功能性作用，参与对细胞外刺激因子的响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克唑替尼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Crizotinib(XALKORI)是一种激酶抑制剂，适用于间变性淋巴瘤激酶(ALK)或ROS1阳性的转移性非小细胞肺癌(NSCLC)(FDA-approval: 01/2021)。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阿来替尼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Alectinib（ALECENSA）是一种激酶抑制剂，FDA批准Alectinib用于治疗间变性淋巴瘤激酶(ALK)阳性的转移性非小细胞肺癌(NSCLC)(FDA-approval: 06/2018)。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赛瑞替尼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Ceritinib(ZYKADIA)是一种激酶抑制剂，适用于间变性淋巴瘤激酶(ALK)阳性的转移性非小细胞肺癌(NSCLC)(FDA-approval: 03/2019)。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布格替尼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Brigatinib（ALUNBRIG）是一种激酶抑制剂，适用于间变性淋巴瘤激酶(ALK)阳性的转移性非小细胞肺癌(NSCLC)成人患者(FDA-approval: 05/2020)。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洛拉替尼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Lorlatinib（LORBRENA）是一种激酶抑制剂，可用于治疗既往接受克唑替尼和至少一种其他ALK抑制剂、或alectinib或ceritinib一线治疗后病情进展的间变性淋巴瘤激酶(ALK)阳性转移性非小细胞肺癌(NSCLC)患者(FDA-approval: 03/2021)。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恩沙替尼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NMPA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恩莎替尼是第二代ALK抑制剂，中国国家药监局(NMPA)批准恩莎替尼用于间变性淋巴瘤激酶（ALK）阳性的局部晚期或转移性非小细胞肺癌（NSCLC）患者的治疗(NMPA-approval: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阿法替尼,厄洛替尼,吉非替尼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NCCN指南指出MET扩增/ALK重排/ERBB2扩增可使非小细胞肺癌患者对Afatinib、Erlotini、Gefitinib产生耐药。(NCCN: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克唑替尼,赛瑞替尼,布格替尼,洛拉替尼,阿来替尼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子宫癌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NCCN指南推荐Crizotinib,Ceritinib,Brigatinib,Lorlatinib,Alectinib可用于治疗携带FALK易位的子宫的炎症性肌纤维母细胞瘤患者(NCCN: Uterine Neoplasms-Version 1.2023)。</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ASP3026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在一项I期临床试验中，携带ALK融合的且克唑替尼治疗耐药的15位非小细胞肺癌患者和1位成神经管细胞瘤患者，采用ASP3026治疗后，获得了50%部分缓解和44%疾病稳定的效果(PMID: 26966027)。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恩曲替尼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综合两个I期临床试验的结果（ALKA-372-001和STARTRK-1），对携带ALK融合的且前期未经ALK抑制剂治疗的晚期实体瘤患者（包括非小细胞肺癌、结直肠癌、肾癌），Entrectinib (RXDX-101)治疗的客观缓解率为57%（4/7），而对于前期已经过ALK抑制剂治疗的患者都没有疗效（0/19）(PMID: 28183697)。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基因变异：ERBB2 扩增</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ERBB2(又称HER2)是一种跨膜受体，同时也是受体酪氨酸激酶ERBB家族的成员，该家族还包括EGFR，ERBB3和ERBB4。ERBB2不与其配体直接结合。相反，它通过结合其他与配体结合的ERBB受体来增强其活性(PMID: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12853564)。ERBB2还可以同源二聚化并启动MAPK、SRC、PI3K和STAT信号传导(PMID: 22785351)。ERBB2介导的信号通路的激活最终会导致细胞增殖、迁移和分化(PMID: 18045542)。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阿法替尼,厄洛替尼,吉非替尼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NCCN指南指出MET扩增/ALK重排/ERBB2扩增可使非小细胞肺癌患者对Afatinib、Erlotini、Gefitinib产生耐药。(NCCN: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帕妥珠单抗 + 曲妥珠单抗 + Chemotherapy</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批准Pertuzumab联合曲妥珠单抗和化疗用于HER2阳性的局部晚期、炎性或早期乳腺癌(直径大于2cm或淋巴结阳性)的新辅助治疗，作为早期乳腺癌整体治疗方案的一部分；或作为具有复发高风险的HER2阳性早期乳腺癌的辅助治疗(FDA-approval: 01/2020)。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妥卡替尼 + Capecitabine + 曲妥珠单抗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FDA批准Tucatinib联合曲妥珠单抗和卡培他滨用于治疗既往转移治疗中接受过一种或多种抗HER2治疗的晚期不可切除性或转移性HER2阳性乳腺癌成人患者，包括发生脑转移的患者(FDA-approval: 04/2020)。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拉帕替尼 + capecitabine,拉帕替尼 + Letrozole</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Lapatinib是一种激酶抑制剂，FDA批准Lapatinib联合卡培他滨用于治疗过表达人表皮生长因子受体2(HER2)并且既往接受过蒽环类、紫杉类和曲妥珠单抗等治疗的晚期或转移性乳腺癌；Lapatinib联合来曲唑用于治疗过表达HER2受体适用激素治疗的绝经后妇女激素受体阳性转移性乳腺癌(FDA-approval: 12/2018)。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恩美曲妥珠单抗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Ado-Trastuzumab Emtansine是一种HER2靶向抗体和微管抑制剂缀合物，FDA批准单药用于治疗以下既往接受过单独或联合曲妥珠单抗和紫杉烷治疗的HER2阳性转移性乳腺癌患者：(1)既往接受过转移性疾病的先前治疗。(2)完成辅助治疗期间或之后六个月内疾病复发。；或作为既往接受紫杉烷和曲妥珠单抗治疗后仍残留浸润性疾病的HER2阳性早期乳腺癌患者的辅助治疗(FDA-approval: 09/2020)。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Margetuximab-cmkb + Chemotherapy</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Margetuximab-cmkb是一种HER2/neu受体拮抗剂，FDA批准联合化疗用于治疗既往接受两种或两种以上抗HER2方案(其中至少一种用于转移性疾病)的转移性HER2阳性乳腺癌成人患者(FDA-approval: 12/2020)。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奈拉替尼,Capecitabine + 奈拉替尼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eratinib是一种激酶抑制剂，FDA批准的适应症包括：1.单药用于经以曲妥珠单抗为基础辅助治疗的早期HER2阳性乳腺癌成人患者的延长辅助治疗。2.联合卡培他滨用于治疗既往接受过两种或两种以上的基于抗HER2治疗方案的转移性晚期或转移性HER2阳性乳腺癌患(FDA-approval: 07/2020)。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Trastuzumab是一种HER2/neu受体拮抗剂，FDA批准用于治疗HER2过表达的乳腺癌患者(FDA-approval: 11/2018)。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胃食管交界癌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Trastuzumab是一种HER2/neu受体拮抗剂，FDA批准用于治疗HER2过表达的转移性胃或胃食管交界处腺癌(FDA-approval: 11/2018)。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胃癌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Trastuzumab是一种HER2/neu受体拮抗剂，FDA批准用于治疗HER2过表达的转移性胃或胃食管交界处腺癌(FDA-approval: 11/2018)。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Pembrolizumab + 曲妥珠单抗 + Chemotherapy</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胃食管交界癌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FDA批准Pembrolizumab联合曲妥珠单抗及含氟嘧啶类和铂类化疗用于局部晚期不可切除或转移性HER2阳性的胃癌或胃食管交界处(GEJ)腺癌患者的一线治疗(FDA-approval: 10/2021)。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Fam-trastuzumab deruxtecan-nxki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胃食管交界癌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Trastuzumab Deruxtecan是一种HER2定向抗体和拓扑异构酶抑制剂偶联物，FDA批准用于治疗既往接受过基于Trastuzumab治疗的HER2阳性、局部晚期或转移性胃或胃食管交界处腺癌的成年患者(FDA-approval: 01/2021)。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Fam-trastuzumab deruxtecan-nxki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胃癌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Trastuzumab Deruxtecan是一种HER2定向抗体和拓扑异构酶抑制剂偶联物，FDA批准用于治疗既往接受过基于Trastuzumab治疗的HER2阳性、局部晚期或转移性胃或胃食管交界处腺癌的成年患者(FDA-approval: 01/2021; PMID: 32469182)。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Fam-trastuzumab deruxtecan-nxki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Trastuzumab Deruxtecan是一种HER2定向抗体和拓扑异构酶抑制剂偶联物，FDA批准用于治疗携带HER2阳性，前期已接受过以抗HER2为基础的治疗(转移性疾病治疗或新辅助/辅助治疗）并在完成治疗期间或6个月内出现疾病复发的不可切除性或转移性乳腺癌成人患者。(FDA-approval: 05/2022)。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吡咯替尼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NMPA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NMPA批准吡咯替尼联合卡培他滨，适用于治疗表皮生长因子受体 2 (HER2)阳性、既往未接受或接受过曲妥珠单抗的复发或转移性乳腺癌患者（使用本品前患者应接受过蒽环类或紫杉类化疗）(NMPA-approval: 08/2018)。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伊尼妥单抗 + Vinorelbine</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NMPA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伊尼妥单抗是一种重组抗人表皮生长因子受体-2人源化单克隆抗体，NMPA批准其适用于与长春瑞滨联合治疗已接受过1个或多个化疗方案的HER2阳性(免疫组化（IHC）检测显示阳性（+++）或免疫组化检测显示可疑阳性（++）同时荧光原位杂交（FISH）检测结果阳性)的转移性乳腺癌患者(NMPA-approval: 06/2020)。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吡咯替尼 + 曲妥珠单抗 + Docetaxel</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NMPA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NMPA批准Pyrotinib联合曲妥珠单抗及多西他赛，适用于治疗表皮生长因子受体2（HER2）阳性早期或局部晚期乳腺癌患者的新辅助治疗(NMPA-approval: 08/2018)。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吡咯替尼 + 曲妥珠单抗 + Docetaxel</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NMPA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MPA批准吡咯替尼联合卡培他滨，适用于治疗表皮生长因子受体2（HER2）阳性、既往未接受或接受过曲妥珠单抗的复发或转移性乳腺癌患者。使用本品前患者应接受过蒽环类或紫杉类化疗。2.吡咯替尼与曲妥珠单抗和多西他赛联合，用于表皮生长因子受体2（HER2）阳性早期或局部晚期乳腺癌患者的新辅助治疗.3.马来酸吡咯替尼片与曲妥珠单抗和多西他赛联合，用于治疗表皮生长因子受体2（HER2）阳性、晚期阶段未接受过抗HER2治疗的复发或转移性乳腺癌患者(NMP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Chemotherapy,曲妥珠单抗 + 拉帕替尼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乳腺癌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NCCN指南将Trastuzumab + Chemotherapy/Trastuzumab + Lapatinib纳入HER2阳性的复发不可切除的乳腺癌患者的三线治疗方案(NCCN: Breast Cancer-Version 4.2021)。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Carboplatin-Taxol</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子宫浆液性癌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NCCN指南推荐Trastuzumab + Carboplatin-Taxol用于治疗HER2阳性的子宫浆液癌/子宫乳头状浆液癌患者(NCCN: Uterine Neoplasms-Version 4.2021)。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胆管癌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NCCN推荐Trastuzumab联合pertuzumab用于治疗HER2阳性疾病进展的胆管癌患者的后续治疗（NCCN: Hepatobiliary Cancers 1.2022）。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Fam-trastuzumab deruxtecan-nxki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唾液腺肿瘤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NCCN推荐Fam-trastuzumab deruxtecan-nxki用于治疗HER2+、复发性、不可切除性或转移性唾液腺肿瘤患者的系统性治疗（NCCN: Head and Neck Cancers-Version 1.2022）。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基因变异：MYC 扩增</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xxx</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奥希替尼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肺腺癌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回顾性研究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一项回顾性研究发现，在接受奥希替尼治疗的NSCLC患者中，存在MYC扩增的患者PFS较野生型显著降低（4.83个月 vs 12.60个月, HR = 2.95, p = 0.016）（PMID: 35643428）。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埃克替尼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回顾性研究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一项回顾性研究发现，发现一例携带L861Q的NSCLC患者携带MYC扩增对埃克替尼原发耐药。</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ROS1/ALK 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回顾性研究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一例对克唑替尼耐药的ALK融合阳性肺癌患者中同样检出MYC基因扩增（PMID: 30290287）。对一例EZR-ROS1融合阳性、一线克唑替尼短期反应但二线洛拉替尼和卡博替尼治疗后最终进展的NSCLC患者，在其一线治疗进展时进行组织活检发现存在共存突变，包括TP53、AXIN1和TERT启动子突变、MYC和CCND3基因扩增，及CDKN2A/B基因缺失，其中MYC扩增在患者接受一线克唑替尼治疗前已存在，且拷贝数由4.5提高到6.5。体外细胞试验也证明，在对ROS1 TKI敏感的细胞系中过表达MYC可导致耐药（PMID: 35149545）。另一项回顾性研究中，在对克唑替尼和洛拉替尼耐药的ROS1融合阳性肺癌患者中也检出多个ROS1突变和MYC扩增共存，提示MYC扩增的潜在耐药机制（PMID: 33685866）。一例对Brigatinib和Lorlatinib耐药的EML4-ALK融合阳性肺癌患者的心包活检和胸腔积液样本同时检出YES1和MYC扩增（PMID: 35199053）。</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卡马替尼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个案</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一例82岁MET扩增的NSCLC患者对卡马替尼原发耐药，组织活检发现存在MYC扩增，同时利用患者来源的细胞（PDCs）进行功能性药物敏感性测试，结果显示MYC mRNA过度表达，并对卡马替尼产生耐药性（PMID: 36248327）。</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 xml:space="preserve">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MEKTOVI是一种激酶抑制剂，联合康奈非尼用于治疗BRAF V600E或V600K突变的不可切除性或转移性黑色素瘤。\\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阿培利司</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PIQRAY是一种激酶抑制剂，适用于联合氟维司群用于治疗既往接受内分泌治疗后疾病进展、携带PIK3CA突变、激素受体(HR)阳性、人表皮生长因子受体2 (HER2)阴性的绝经后妇女和男性晚期或转移性乳腺癌。\\阿培利司（Alpelisib）是PI3Kα的抑制剂，主要具有针对PI3Kα的抑制活性。在体外和体内模型中，PIK3CA基因的获得性突变将导致PI3Kα和Akt信号通路的激活，从而使细胞性状发生转化以及促使肿瘤的产生。在乳腺癌细胞系中，阿培利司（Alpelisib）抑制PI3K下游靶标（包括Akt）的磷酸化，并在具有PIK3CA突变的细胞系中显示出活性。在体内，阿培利司（Alpelisib）在移植瘤模型（包括乳腺癌模型）中抑制PI3K/Akt信号通路并降低肿瘤生长。通过阿培利司（Alpelisib）治疗抑制PI3K已显示出可诱导乳腺癌细胞中雌激素受体（ER）转录的增加。在ER阳性、PIK3CA突变的乳腺癌细胞系的移植瘤模型中，阿培利司（Alpelisib）和氟维司琼（Fulvestrant）联合治疗显示出较单一治疗更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RLY-2608是一种新型变构、泛突变、选择性PI3Kα抑制剂,一项临床I期研究正在评估RLY-2608作为单药在PI3KCA突变的晚期实体瘤患者( pts )中的临床活性，以及联合氟维司群在PIK3CA突变、HR +、HER2 -转移性乳腺癌( MBC )患者中的临床活性。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OTRIENT是一种激酶抑制剂，适用于晚期肾细胞癌(RCC)和既往接受过化疗的晚期软组织肉瘤(STS)成人患者。\\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洛普替尼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Repotrectinib (TPX-0005) 是一种新型的ALK/ROS1/TRK抑制剂，对WT ALK、ALK(G1202R)、ALK(L1196M)的IC50分别为1.01 nM、1.26 nM、1.08 nM；同时也是一种有效的SRC抑制剂，IC50为5.3 nM。TPX-0005是一种具有口服活性的ATP竞争性抑制剂，抑制ALK、ROS1、TRKA、TRKB和TRKC重组激酶以及其相应的临床耐药突变体。在许多人类癌细胞系和工程类稳定表达致癌基因或其突变体的细胞系中，亚纳摩尔或第浓度的纳摩尔级别的TPX-0005能有效发挥其抗增殖活性，伴随着对靶标磷酸化的抑制和使其下游效应分子如ERK、AKT和STAT3失活。TPX-0005在伤口愈合实验中，抑制H2228细胞的迁移。它不仅能够抑制野生型和大部分ALK突变体，还能克服原发耐药性，通过抑制SRC抑制转移性特征。在患者来源的移植瘤模型中，TPX-0005能够引起具有致瘤性ALK、ROS1和TRKC融合的肿瘤显著消退。此外，在一系列小鼠移植瘤模型中，TPX-0005不仅仅在含有野生型致瘤性靶标的肿瘤中具有显著的抗肿瘤活性，还能通过抑制相应靶标的磷酸化，在具有溶剂前沿突变（solvent front mutations）致癌基因的肿瘤中也发挥其效力。</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恩曲替尼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nM。恩曲替尼（Entrectinib）还可以抑制JAK2和TNK2的活性，IC50值&gt;5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奥希替尼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TAGRISSO是一种激酶抑制剂，其适应症为：1 .用于表皮生长因子受体(EGFR)19号外显子缺失或21号外显子L858R突变的非小细胞肺癌(NSCLC)成人患者肿瘤切除术后的辅助治疗。2.表皮生长因子受体(EGFR)19号外显子缺失或21号外显子L858R突变的转移性NSCLC的一线治疗。3.EGFR T790M突变阳性、EGFR TKI治疗期间或之后疾病进展的转移性NSCLC成人患者。\\奥西替尼（Osimertinib）是一种表皮生长因子受体（EGFR）激酶抑制剂，能以比野生型低约9倍的浓度与某些EGFR突变（T790M，L858R和外显子19缺失）不可逆地结合。口服奥西替尼（Osimertinib）后在血浆中发现两种具有药理活性的代谢物（AZ7550和AZ5104，约占前体药物的10%），其抑制作用与奥西替尼相似。AZ7550与奥西替尼（Osimertinib）的效力相似，而AZ5104对EGFR 19号外显子缺失、T790M突变（约8倍）以及野生型EGFR（约15倍）的活性较强。体外试验显示，奥西替尼（Osimertinib）在临床浓度下也能抑制HER2、HER3、HER4、ACK1和BLK的活性。在细胞培养和动物肿瘤移植瘤模型中，奥希替尼（Osimertinib）对携带EGFR突变（T790M/L858R、L858R、T790M/19号外显子缺失、19号外显子缺失）的非小细胞肺癌（NSCLC）细胞系具有抗肿瘤活性，对野生型EGFR基因扩增的抗肿瘤活性较弱。奥西替尼（Osimertinib）口服给药后高分布于多种动物（猴子，大鼠和小鼠）的脑部，其脑-血AUC比约为2：1。这些数据与一项临床前研究结果一致：在EGFR突变小鼠异种颅内移植模型（PC9；19号外显子缺失）中，与对照组相比，可观察到奥西替尼（Osimertinib）组的肿瘤消退以及存活率提高。</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卡马替尼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ABRECTA是一种激酶抑制剂，适用于携带间质表皮转化因子(MET)基因14号外显子跳跃突变的转移性非小细胞肺癌(NSCLC)成人患者。\\卡马替尼（Capmatinib）是一种针对MET的激酶抑制剂，这其中就包括外显子14跳跃产生的突变。MET外显子14跳跃会导致蛋白质缺失调控域，从而降低其负调控，导致下游MET信号传导增加。卡马替尼（Capmatinib）在临床相关浓度下可抑制MET 14号外显子缺失突变驱动的肿瘤细胞生长，并在小鼠人源肺癌异种移植模型中显示出抗肿瘤活性，该模型的基因突变会导致MET 14号外显子跳跃或MET扩增。卡马替尼(Capmatinib)抑制由肝细胞生长因子结合或MET扩增触发的MET磷酸化，以及MET介导的下游信号蛋白磷酸化和MET依赖性肿瘤细胞的增殖和存活。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埃克替尼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埃克替尼是一种酪氨酸激酶抑制剂，适用于治疗表皮生长因子受体(EGFR)基因具有敏感突变的局部晚期或转移性非小细胞肺癌(NSCLC)患者的一线治疗。本品单药可试用于治疗既往接受过至少一个化疗方案失败后的局部晚期或转移性非小细胞肺癌(NSCLC)，既往化疗主要是指以铂类为基础的联合化疗。\\埃克替尼是一种选择性表皮生长因子受体(EGFR)酪氨酸激酶抑制剂。埃克替尼抑制EGFR酪氨酸激酶活性的半数有效浓度(IC50)为5 nM，在所测试的88种激酶中，500 nM浓度的埃克替尼只对EGFR野生型及其突变型有明显的抑制作用，对其它激酶均没有抑制作用，提示埃克替尼是一个高选择性的EGFR激酶抑制剂。体外研究和动物实验表明埃克替尼可抑制多种人肿瘤细胞株的增殖。</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敏感</w:t>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洛拉替尼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LORBRENA是一种激酶抑制剂，适用于间变性淋巴瘤激酶(ALK)阳性的转移性非小细胞肺癌(NSCLC)成人患者。\\非小细胞肺癌（NSCLC）占全球肺癌患者的85%，并且仍然是特别难以治疗的疾病。间变性淋巴瘤激酶（ALK）基因重排的遗传变异可驱动许多患者的NSCLC发展（PubMed: 18097461, PubMed: 25914136）。通常情况下，ALK是一种天然的内源性酪氨酸激酶受体，在大脑发育中起着重要作用，并在神经系统的各种特异神经元上发挥活性（PubMed: 29101158, PubMed: 29067878, PubMed: 18097461）。相应地，劳拉替尼（Lorlatinib）是一种激酶抑制剂，对ALK具有体外活性，并可靶向多种其他酪氨酸激酶受体，包括ROS1、TYK1、FER、FPS、TRKA、TRKB、TRKC、FAK、FAK2和ACK。劳拉替尼（Lorlatinib）对多种ALK突变酶表现出体外活性，包括在克唑替尼（Crizotinib）和其他ALK抑制剂治疗下疾病进展的肿瘤中检测到的突变。此外，劳拉替尼（Lorlatinib）血脑屏障通透性高，能够治疗进行性或恶化性脑转移非小细胞肺癌（PubMed: 29067878）。劳拉替尼（Lorlatinib）在体内模型的整体抗肿瘤活性呈剂量依赖性，并与抑制ALK磷酸化有关。尽管多数ALK阳性转移性NSCLC患者对最初的酪氨酸激酶疗法产生响应，但是后期这些患者的病情通常会发现再度恶化（PubMed: 28122866）。然而，多项劳拉替尼（Lorlatinib）的临床试验表明，对于正在或已使用各种第一、二代酪氨酸激酶抑制剂（如克唑替尼[Crizotinib]、阿来替尼[Alectinib]或色瑞替尼[Ceritinib]）后肿瘤进展的ALK阳性转移性NSCLC患者，其可有效促进患者的肿瘤消退（PubMed: 30413381）。</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克唑替尼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克唑替尼是一种激酶抑制剂，其适应症为：1.间变性淋巴瘤激酶(ALK)或ROS1阳性的转移性非小细胞肺癌(NSCLC)患者。2.复发性或难治性的系统性ALK阳性间变性大细胞淋巴瘤(ALCL)的 1 岁及以上儿童患者和青少年患者(使用限制:克唑替尼对复发或难治性系统性ALK阳性间变性大细胞淋巴瘤(ALCL)老年人的安全性和有效性尚未得到证实)。3.不可切除、复发或难治性1岁及以上ALK阳性的炎症性肌纤维母细胞瘤(IMT)的成人和儿童患者。\\克唑替尼(Crizotinib)是一种酪氨酸激酶受体抑制剂，对应靶点包括ALK、肝细胞生长因子受体（HGFR，c-Met)、ROS1(c-cos)和Recepteur d'Origine Nantais (RON)。ALK基因易位可引起致癌融合蛋白的表达。ALK融合蛋白的形成导致基因表达和信号转导的激活和失调，可以促进表达这些蛋白的肿瘤细胞的增殖和存活。克唑替尼(Crizotinib)在使用肿瘤细胞系的细胞实验中显示出对ALK、ROS1和c-Met磷酸化的浓度依赖性抑制作用，并且在表达棘皮动物微管相关蛋白4（EML4）或核磷蛋白（NPM）-ALK融合蛋白或c-Met的肿瘤移植小鼠中显示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布格替尼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LUNBRIG是一种激酶抑制剂，适用于间变性淋巴瘤激酶(ALK)阳性的转移性非小细胞肺癌(NSCLC)成人患者。\\布格替尼(Brigatinib)是一种酪氨酸激酶抑制剂，体外浓度达到临床相关浓度时可以抑制多种激酶的活性，包括ALK、ROS1、胰岛素样生长因子1受体（IGF-1R）和FLT-3以及EGFR缺失和点突变。在体外和体内试验中，布格替尼(Brigatinib)能抑制ALK的自磷酸化以及ALK介导的下游信号蛋白STAT3、AKT、ERK1/2和S6的磷酸化。布格替尼(Brigatinib)还抑制了表达EML4-ALK和NPM-ALK融合蛋白细胞系的体外增殖，并显示出对EML4-ALK阳性、非小细胞肺癌小鼠异种移植瘤模型生长的剂量依赖性抑制作用。在临床相关浓度(≤500nM)下，布格替尼(Brigatinib)抑制了表达EML4-ALK和17种与ALK抑制剂（包括克唑替尼Crizotinib）耐药相关突变细胞的体外活力，这些突变包括EGFR-Del (E746-A750)、ROS1-L2026M、FLT3-F691L和FLT3-D835Y。布格替尼(Brigatinib)还对4种EML4-ALK突变表现出体内抗肿瘤活性，包括在克唑替尼(Crizotinib)治疗后疾病进展的NSCLC患者中发现的G1202R和L1196M突变。布格替尼(Brigatinib)还可减轻颅内植入ALK驱动肿瘤细胞系小鼠的肿瘤负担，并延长其生存期。</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恩曲替尼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nM。恩曲替尼（Entrectinib）还可以抑制JAK2和TNK2的活性，IC50值&gt;5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赛瑞替尼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YKADIA是一种激酶抑制剂，适用于间变性淋巴瘤激酶(ALK)阳性的转移性非小细胞肺癌(NSCLC)。\\色瑞替尼(Ceritinib)是一种激酶抑制剂。达到临床相关浓度的生化或细胞分析中，色瑞替尼(Ceritinib)抑制作用的靶点包括ALK、胰岛素样生长因子1受体(IGF-1R)、胰岛素受体(InsR)和ROS1。其中，色瑞替尼(Ceritinib)对ALK的活性最高。在体外和体内试验中，色瑞替尼(Ceritinib)可抑制ALK的自磷酸化，ALK介导的下游信号蛋白STAT3的磷酸化，以及ALK依赖性肿瘤细胞的增殖。色瑞替尼(Ceritinib)在体外实验中能抑制表达EML4-ALK和NPM-ALK融合蛋白细胞系的增殖，对小鼠和大鼠中EML4-ALK阳性非小细胞肺癌（NSCLC）异种移植瘤的生长表现出剂量依赖性抑制作用。在EML4-ALK阳性NSCLC小鼠异种移植瘤对克唑替尼(Crizotinib)耐药的情况下,色瑞替尼(Ceritinib)在临床相关浓度范围内显示出剂量依赖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洛拉替尼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LORBRENA是一种激酶抑制剂，适用于间变性淋巴瘤激酶(ALK)阳性的转移性非小细胞肺癌(NSCLC)成人患者。\\非小细胞肺癌（NSCLC）占全球肺癌患者的85%，并且仍然是特别难以治疗的疾病。间变性淋巴瘤激酶（ALK）基因重排的遗传变异可驱动许多患者的NSCLC发展（PubMed: 18097461, PubMed: 25914136）。通常情况下，ALK是一种天然的内源性酪氨酸激酶受体，在大脑发育中起着重要作用，并在神经系统的各种特异神经元上发挥活性（PubMed: 29101158, PubMed: 29067878, PubMed: 18097461）。相应地，劳拉替尼（Lorlatinib）是一种激酶抑制剂，对ALK具有体外活性，并可靶向多种其他酪氨酸激酶受体，包括ROS1、TYK1、FER、FPS、TRKA、TRKB、TRKC、FAK、FAK2和ACK。劳拉替尼（Lorlatinib）对多种ALK突变酶表现出体外活性，包括在克唑替尼（Crizotinib）和其他ALK抑制剂治疗下疾病进展的肿瘤中检测到的突变。此外，劳拉替尼（Lorlatinib）血脑屏障通透性高，能够治疗进行性或恶化性脑转移非小细胞肺癌（PubMed: 29067878）。劳拉替尼（Lorlatinib）在体内模型的整体抗肿瘤活性呈剂量依赖性，并与抑制ALK磷酸化有关。尽管多数ALK阳性转移性NSCLC患者对最初的酪氨酸激酶疗法产生响应，但是后期这些患者的病情通常会发现再度恶化（PubMed: 28122866）。然而，多项劳拉替尼（Lorlatinib）的临床试验表明，对于正在或已使用各种第一、二代酪氨酸激酶抑制剂（如克唑替尼[Crizotinib]、阿来替尼[Alectinib]或色瑞替尼[Ceritinib]）后肿瘤进展的ALK阳性转移性NSCLC患者，其可有效促进患者的肿瘤消退（PubMed: 30413381）。</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克唑替尼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克唑替尼是一种激酶抑制剂，其适应症为：1.间变性淋巴瘤激酶(ALK)或ROS1阳性的转移性非小细胞肺癌(NSCLC)患者。2.复发性或难治性的系统性ALK阳性间变性大细胞淋巴瘤(ALCL)的 1 岁及以上儿童患者和青少年患者(使用限制:克唑替尼对复发或难治性系统性ALK阳性间变性大细胞淋巴瘤(ALCL)老年人的安全性和有效性尚未得到证实)。3.不可切除、复发或难治性1岁及以上ALK阳性的炎症性肌纤维母细胞瘤(IMT)的成人和儿童患者。\\克唑替尼(Crizotinib)是一种酪氨酸激酶受体抑制剂，对应靶点包括ALK、肝细胞生长因子受体（HGFR，c-Met)、ROS1(c-cos)和Recepteur d'Origine Nantais (RON)。ALK基因易位可引起致癌融合蛋白的表达。ALK融合蛋白的形成导致基因表达和信号转导的激活和失调，可以促进表达这些蛋白的肿瘤细胞的增殖和存活。克唑替尼(Crizotinib)在使用肿瘤细胞系的细胞实验中显示出对ALK、ROS1和c-Met磷酸化的浓度依赖性抑制作用，并且在表达棘皮动物微管相关蛋白4（EML4）或核磷蛋白（NPM）-ALK融合蛋白或c-Met的肿瘤移植小鼠中显示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阿来替尼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LECENSA是一种激酶抑制剂，适用于间变性淋巴瘤激酶(ALK)阳性的转移性非小细胞肺癌(NSCLC)。\\阿来替尼(Alectinib)是靶向ALK和RET的酪氨酸激酶抑制剂。在非临床研究中，阿来替尼(Alectinib)抑制ALK磷酸化和ALK介导的下游信号蛋白STAT3和AKT的活化，并降低ALK融合、扩增或突变的多种细胞系中肿瘤细胞的活力。阿来替尼(Alectinib)的主要活性代谢产物M4，在体外也表现出相似的效价和活性。阿来替尼(Alectinib)和M4在体内和体外均对ALK酶的多种突变形式具有活性，包括在克唑替尼(Crizotinib)治疗的非小细胞肺癌肿瘤患者中鉴定出的某些突变。在携带ALK融合蛋白的肿瘤的小鼠模型中（包括在颅内植入ALK驱动的肿瘤细胞系的小鼠模型），使用阿来替尼(Alectinib)可产生抗肿瘤活性并延长生存期。</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布格替尼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LUNBRIG是一种激酶抑制剂，适用于间变性淋巴瘤激酶(ALK)阳性的转移性非小细胞肺癌(NSCLC)成人患者。\\布格替尼(Brigatinib)是一种酪氨酸激酶抑制剂，体外浓度达到临床相关浓度时可以抑制多种激酶的活性，包括ALK、ROS1、胰岛素样生长因子1受体（IGF-1R）和FLT-3以及EGFR缺失和点突变。在体外和体内试验中，布格替尼(Brigatinib)能抑制ALK的自磷酸化以及ALK介导的下游信号蛋白STAT3、AKT、ERK1/2和S6的磷酸化。布格替尼(Brigatinib)还抑制了表达EML4-ALK和NPM-ALK融合蛋白细胞系的体外增殖，并显示出对EML4-ALK阳性、非小细胞肺癌小鼠异种移植瘤模型生长的剂量依赖性抑制作用。在临床相关浓度(≤500nM)下，布格替尼(Brigatinib)抑制了表达EML4-ALK和17种与ALK抑制剂（包括克唑替尼Crizotinib）耐药相关突变细胞的体外活力，这些突变包括EGFR-Del (E746-A750)、ROS1-L2026M、FLT3-F691L和FLT3-D835Y。布格替尼(Brigatinib)还对4种EML4-ALK突变表现出体内抗肿瘤活性，包括在克唑替尼(Crizotinib)治疗后疾病进展的NSCLC患者中发现的G1202R和L1196M突变。布格替尼(Brigatinib)还可减轻颅内植入ALK驱动肿瘤细胞系小鼠的肿瘤负担，并延长其生存期。</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赛瑞替尼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YKADIA是一种激酶抑制剂，适用于间变性淋巴瘤激酶(ALK)阳性的转移性非小细胞肺癌(NSCLC)。\\色瑞替尼(Ceritinib)是一种激酶抑制剂。达到临床相关浓度的生化或细胞分析中，色瑞替尼(Ceritinib)抑制作用的靶点包括ALK、胰岛素样生长因子1受体(IGF-1R)、胰岛素受体(InsR)和ROS1。其中，色瑞替尼(Ceritinib)对ALK的活性最高。在体外和体内试验中，色瑞替尼(Ceritinib)可抑制ALK的自磷酸化，ALK介导的下游信号蛋白STAT3的磷酸化，以及ALK依赖性肿瘤细胞的增殖。色瑞替尼(Ceritinib)在体外实验中能抑制表达EML4-ALK和NPM-ALK融合蛋白细胞系的增殖，对小鼠和大鼠中EML4-ALK阳性非小细胞肺癌（NSCLC）异种移植瘤的生长表现出剂量依赖性抑制作用。在EML4-ALK阳性NSCLC小鼠异种移植瘤对克唑替尼(Crizotinib)耐药的情况下,色瑞替尼(Ceritinib)在临床相关浓度范围内显示出剂量依赖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恩沙替尼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沙替尼为间变性淋巴瘤激酶（ALK）抑制剂，适用于间变性淋巴瘤激酶（ALK）阳性的局部晚期或转移性非小细胞肺癌（NSCLC）患者的治疗。\\恩沙替尼为间变性淋巴瘤激酶（ALK）抑制剂，对ALK的半数抑制浓度（IC50）小于 0.25 nM，对 Ephrin A2 激酶（EPHA2）、MET 受体酪氨酸激酶（c-MET）亦可见抑制作用。恩沙替尼可抑制 HEK-293 细胞（过表达 EML4-ALK E13;A20）ALK 自磷酸化，也可抑制非小细胞肺癌细胞 H3122（EML4-ALK E13;A20）ALK磷酸化，同时抑制相应下游信号分子 AKT、ERK 及 mTOR 底物-核糖体蛋白（S6）的磷酸化。恩沙替尼对非小细胞肺癌细胞 H3122、H2228，淋巴瘤细胞 SUDHL-1 以及神经母细胞瘤细胞 SH-SY5Y 的 IC50 分别为 0.015 μM、0.045 μM、0.009 μM 和0.068 μM；对 c-MET 扩增的胃腺癌细胞 MKN-45 抑制作用的 IC50 为 0.156 μM；对转染了克唑替尼耐药突变体 EML4-ALK L1196M 或 C1156Y 的 Ba/F3 细胞抑制作用的 IC50 分别 0.106 μM 和 0.048 μM。</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恩美曲妥珠单抗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KADCYLA是一种HER2靶向抗体和微管抑制剂缀合物，其适应症为：单药使用：1.以下既往接受过单独或联合曲妥珠单抗和紫杉烷治疗的HER2阳性转移性乳腺癌患者：(1)既往接受过转移性疾病的先前治疗。(2)完成辅助治疗期间或之后六个月内疾病复发。2.既往接受紫杉烷和曲妥珠单抗治疗后仍残留浸润性疾病的HER2阳性早期乳腺癌患者的辅助治疗。\\恩美曲妥珠单抗（Ado-trastuzumab emtansine）是靶向HER2的抗体药物偶联物。 该抗体是人源化抗HER2 IgG1曲妥珠单抗（Trastuzumab）。 小分子细胞毒素DM1是微管抑制剂。 与HER2受体的亚结构域IV结合后，恩美曲妥珠单抗（Ado-trastuzumab emtansine）经历受体介导的内在化和随后的溶酶体降解，从而导致胞内释放含DM1的细胞毒性代谢产物。 DM1与微管蛋白的结合会破坏细胞中的微管网络，从而导致细胞周期停滞和细胞凋亡。 此外，体外研究表明，与曲妥珠单抗（Trastuzumab）类似，恩美曲妥珠单抗（Ado-trastuzumab emtansine）抑制HER2受体信号传导，介导抗体依赖性细胞介导的细胞毒性，并抑制过表达HER2的人乳腺癌细胞中HER2的胞外域脱落。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伊尼妥单抗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伊尼妥单抗是一种重组抗人表皮生长因子受体-2 人源化单克隆抗体，适用于与长春瑞滨联合治疗已接受过 1 个或多个化疗方案的HER2 阳性的转移性乳腺癌患者。\\伊尼妥单抗是一种重/组人源化单克隆抗体，特异作用于人表皮生长因子受体-2 (HER2) 的细胞外部位。并且伊尼妥单抗可介导抗体依赖的细胞介导的细胞毒反应（ADCC）。伊尼妥单抗在体外及动物试验中均显示可抑制 HER2 阳性肿瘤细胞的增殖。HER2原癌基因或C-erbB2编码一个单一的受体样跨膜蛋白，分子量为185 kDa，其结构上与其他表皮生长因子受体类似。在原发性乳腺癌患者中观察到有 25%~30% 的患者 HER2 阳性。HER2 基因扩增可导致肿瘤细胞表面 HER2 蛋白表达增加，导致 HER2 蛋白活化。</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吡咯替尼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吡咯替尼为小分子受体酪氨酸激酶抑制剂，其适应症为：1.联合卡培他滨治疗表皮生长因子受体 2 (HER2)阳性、既往未接受或接受过曲妥珠单抗的复发或转移性乳腺癌患者，使用本品前患者应接受过蒽环类或紫杉类化疗。2.联合曲妥珠单抗及多西他赛，适用于治疗表皮生长因子受体2（HER2）阳性早期或局部晚期乳腺癌患者的新辅助治疗。3.马来酸吡咯替尼片与曲妥珠单抗和多西他赛联合，用于治疗表皮生长因子受体2（HER2）阳性、晚期阶段未接受过抗HER2治疗的复发或转移性乳腺癌患者。\\吡咯替尼是不可逆的小分子受体酪氨酸激酶抑制剂，显著抑制表皮生长因子受体（ErbB1/EGFR）和人表皮生长因子受体 2（ErbB2/HER2），半数抑制浓度（IC50）分别为 5.6 nM、8.1 nM。吡咯替尼可显著抑制 HER2 高表达的肿瘤细胞（乳腺癌、卵巢癌、胃癌肿瘤细胞）生长，IC50 为 1~43 nM。在多种移植瘤裸小鼠模型（乳腺癌、卵巢癌、肺癌）中，吡咯替尼可显著抑制 HER2 因子驱动的肿瘤生长，抑制 HER2 介导的下游信号通路，将肿瘤细胞阻滞在细胞周期 G1 期。</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奈拉替尼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NERLYNX是一种激酶抑制剂，其适应症为：1.单药用于经以曲妥珠单抗为基础辅助治疗的早期HER2阳性乳腺癌成人患者的延长辅助治疗。2.联合卡培他滨用于治疗既往接受过两种或两种以上的基于抗HER2治疗方案的转移性晚期或转移性HER2阳性乳腺癌患者。\\来那替尼（Neratinib）是一种胞内蛋白激酶抑制剂，可以不可逆地与表皮生长因子受体（EGFR）、HER2和HER4结合。在体外试验中，来那替尼（Neratinib）降低了EGFR和HER2的自磷酸化以及下游MAPK和AKT信号传导，并在表达EGFR和/或HER2癌细胞系中显示抗肿瘤活性。来那替尼（Neratinib）的人体代谢产物M3、M6、M7和M11在体外也可以抑制EGFR、HER2和HER4的活性。在表达HER2和EGFR肿瘤细胞系的小鼠异种移植模型中，口服来那替尼（Neratinib）可以抑制肿瘤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厄洛替尼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ARCEVA是一种激酶抑制剂，其适应症为：1.在至少一种化疗方案失败后接受一线、维持第二线或更多线治疗的表皮生长因子受体(EGFR)19号外显子缺失或21号外显子L858R置换突变的转移性非小细胞肺癌(NSCLC)。2.联合吉西他滨用于局部晚期、不可切除性或转移性胰腺癌的一线治疗。\\表皮生长因子受体（EGFR）在正常细胞和肿瘤细胞表面都有表达。 在一些肿瘤细胞中，通过该受体的信号传导在肿瘤细胞存活和增殖中均起作用，而与EGFR突变状态无关。厄洛替尼（Erlotinib）可逆地抑制EGFR的激酶活性，阻止受体酪氨酸残基的自磷酸化，进而抑制下游信号传导。厄洛替尼（Erlotinib）对19号外显子缺失或21号外显子（L858R）突变EGFR的结合亲和力高于野生型受体。厄洛替尼（Erlotinib）对其他酪氨酸激酶受体的抑制作用尚未完全表征。</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GILOTRIF是一种激酶抑制剂，其适应症包括：1.携带非耐药性表皮生长因子受体(EGFR)突变的转移性非小细胞肺癌(NSCLC)的一线治疗。2.铂基化疗后疾病进展的转移性鳞状非小细胞肺癌。\\阿法替尼（Afatinib）与EGFR（ErbB1），HER2（ErbB2）和HER4（ErbB4）的激酶结构域共价结合，并不可逆地抑制酪氨酸激酶的自磷酸化，从而导致ErbB信号下调。EGFR的某些突变，包括其激酶结构域的非耐药性突变，可使受体自磷酸化增加，导致受体有时可在无配体结合的情况下激活，并促进NSCLC中的细胞增殖。非耐药性突变定义为发生在编码EGFR激酶结构域的外显子中并能导致受体激活增强的突变，其功效可通过以下方式预测：1）阿法替尼（Afatinib）推荐剂量治疗下有临床意义的肿瘤缩小，和/或2）根据验证方案，推荐剂量下可持续的阿法替尼（Afatinib）浓度下对细胞增殖或EGFR酪氨酸激酶磷酸化的抑制作用。这些突变中最常见的是外显子21 L858R替换和外显子19缺失。在以等价于患者服用剂量的阿法替尼（Afatinib）浓度培养的野生型EGFR细胞系和表达特定的EGFR外显子19缺失突变、外显子21 L858R突变或其他较罕见非耐药性突变的细胞系中，证实了阿法替尼（Afatinib）对自磷酸化和/或体外细胞增殖的抑制作用。此外，阿法替尼（Afatinib）也会抑制过表达HER2细胞系的体外增殖。在裸鼠移植瘤模型中过表达野生型EGFR或HER2，或者EGFRL858R/T790M双突变，经阿法替尼（Afatinib）治疗后均可抑制肿瘤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吉非替尼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IRESSA是一种酪氨酸激酶抑制剂，适用于表皮生长因子受体(EGFR)19号外显子缺失或21号外显子置换突变的转移性非小细胞肺癌(NSCLC)的一线治疗。\\表皮生长因子受体（EGFR）在正常细胞和肿瘤细胞表面都有表达，并在细胞生长和增殖过程中发挥作用。NSCLC细胞中的一些EGFR激活突变（19号外显子缺失或21号外显子L858R点突变）已被确认有助于促进肿瘤细胞生长、阻断凋亡、增加血管生成因子的产生以及促进肿瘤转移。吉非替尼（Gefitinib）可逆地抑制野生型和某些EGFR激活突变的激酶活性，阻止与受体相关的酪氨酸残基的自磷酸化，进而抑制下游信号传导并阻断EGFR依赖性增殖。吉非替尼（Gefitinib）对19号外显子缺失或21号外显子L858R点突变的结合亲和力要高于其对野生型EGFR的亲和力。吉非替尼（Gefitinib）还可以在临床相关浓度下抑制IGF和PDGF介导的信号传导。其他酪氨酸激酶受体的抑制作用尚未完全表征。</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厄洛替尼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ARCEVA是一种激酶抑制剂，其适应症为：1.在至少一种化疗方案失败后接受一线、维持第二线或更多线治疗的表皮生长因子受体(EGFR)19号外显子缺失或21号外显子L858R置换突变的转移性非小细胞肺癌(NSCLC)。2.联合吉西他滨用于局部晚期、不可切除性或转移性胰腺癌的一线治疗。\\表皮生长因子受体（EGFR）在正常细胞和肿瘤细胞表面都有表达。 在一些肿瘤细胞中，通过该受体的信号传导在肿瘤细胞存活和增殖中均起作用，而与EGFR突变状态无关。厄洛替尼（Erlotinib）可逆地抑制EGFR的激酶活性，阻止受体酪氨酸残基的自磷酸化，进而抑制下游信号传导。厄洛替尼（Erlotinib）对19号外显子缺失或21号外显子（L858R）突变EGFR的结合亲和力高于野生型受体。厄洛替尼（Erlotinib）对其他酪氨酸激酶受体的抑制作用尚未完全表征。</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GILOTRIF是一种激酶抑制剂，其适应症包括：1.携带非耐药性表皮生长因子受体(EGFR)突变的转移性非小细胞肺癌(NSCLC)的一线治疗。2.铂基化疗后疾病进展的转移性鳞状非小细胞肺癌。\\阿法替尼（Afatinib）与EGFR（ErbB1），HER2（ErbB2）和HER4（ErbB4）的激酶结构域共价结合，并不可逆地抑制酪氨酸激酶的自磷酸化，从而导致ErbB信号下调。EGFR的某些突变，包括其激酶结构域的非耐药性突变，可使受体自磷酸化增加，导致受体有时可在无配体结合的情况下激活，并促进NSCLC中的细胞增殖。非耐药性突变定义为发生在编码EGFR激酶结构域的外显子中并能导致受体激活增强的突变，其功效可通过以下方式预测：1）阿法替尼（Afatinib）推荐剂量治疗下有临床意义的肿瘤缩小，和/或2）根据验证方案，推荐剂量下可持续的阿法替尼（Afatinib）浓度下对细胞增殖或EGFR酪氨酸激酶磷酸化的抑制作用。这些突变中最常见的是外显子21 L858R替换和外显子19缺失。在以等价于患者服用剂量的阿法替尼（Afatinib）浓度培养的野生型EGFR细胞系和表达特定的EGFR外显子19缺失突变、外显子21 L858R突变或其他较罕见非耐药性突变的细胞系中，证实了阿法替尼（Afatinib）对自磷酸化和/或体外细胞增殖的抑制作用。此外，阿法替尼（Afatinib）也会抑制过表达HER2细胞系的体外增殖。在裸鼠移植瘤模型中过表达野生型EGFR或HER2，或者EGFRL858R/T790M双突变，经阿法替尼（Afatinib）治疗后均可抑制肿瘤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吉非替尼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IRESSA是一种酪氨酸激酶抑制剂，适用于表皮生长因子受体(EGFR)19号外显子缺失或21号外显子置换突变的转移性非小细胞肺癌(NSCLC)的一线治疗。\\表皮生长因子受体（EGFR）在正常细胞和肿瘤细胞表面都有表达，并在细胞生长和增殖过程中发挥作用。NSCLC细胞中的一些EGFR激活突变（19号外显子缺失或21号外显子L858R点突变）已被确认有助于促进肿瘤细胞生长、阻断凋亡、增加血管生成因子的产生以及促进肿瘤转移。吉非替尼（Gefitinib）可逆地抑制野生型和某些EGFR激活突变的激酶活性，阻止与受体相关的酪氨酸残基的自磷酸化，进而抑制下游信号传导并阻断EGFR依赖性增殖。吉非替尼（Gefitinib）对19号外显子缺失或21号外显子L858R点突变的结合亲和力要高于其对野生型EGFR的亲和力。吉非替尼（Gefitinib）还可以在临床相关浓度下抑制IGF和PDGF介导的信号传导。其他酪氨酸激酶受体的抑制作用尚未完全表征。</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9103152"/>
      <w:bookmarkStart w:id="53" w:name="_Toc81378420"/>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 xml:space="preserve">18</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MSH2</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NM_000251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c.2425G&gt;A</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c.2425G&gt;A</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错义突变</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51.85%</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意义未明突变</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HLA分型结果"/>
      <w:bookmarkEnd w:id="64"/>
      <w:bookmarkStart w:id="65" w:name="抗原负荷TNB检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环磷酰胺</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卡铂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奥沙利铂</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顺铂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卡培他滨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替加氟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替吉奥</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氟尿嘧啶</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吉西他滨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培美曲塞</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甲氨蝶呤</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伊立替康</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依托泊苷</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多西他赛</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紫杉醇</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长春新碱</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长春瑞滨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丝裂霉素</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多柔比星</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表柔比星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21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昂丹司琼</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格拉司琼</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 xml:space="preserve">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xml:space="preserve">APC</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家族性腺瘤样息肉病</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杂合;杂合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p.R876X;p.E1353X</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94.94</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1927.98</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99.5</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xml:space="preserve">2022-07-06</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xml:space="preserve">2023-07-27</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9103164"/>
      <w:bookmarkStart w:id="83" w:name="_Toc81378421"/>
      <w:bookmarkStart w:id="84" w:name="_Ref80948838"/>
      <w:bookmarkStart w:id="85" w:name="_Ref80371497"/>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Ref80948870"/>
      <w:bookmarkStart w:id="94" w:name="_Ref80371523"/>
      <w:bookmarkStart w:id="95" w:name="_Toc81378424"/>
      <w:bookmarkStart w:id="96" w:name="_Ref80371515"/>
      <w:bookmarkStart w:id="97" w:name="_Toc81378425"/>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9103168"/>
      <w:bookmarkStart w:id="105" w:name="_Ref80371543"/>
      <w:bookmarkStart w:id="106" w:name="_Toc81378427"/>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江杰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江杰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BC-20220705</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E30889"/>
    <w:rsid w:val="1FF11C57"/>
    <w:rsid w:val="203329CD"/>
    <w:rsid w:val="20715AAF"/>
    <w:rsid w:val="20834026"/>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415DE2"/>
    <w:rsid w:val="4050576F"/>
    <w:rsid w:val="40742B57"/>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B45AD"/>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D1161"/>
    <w:rsid w:val="65742B7C"/>
    <w:rsid w:val="65A80F15"/>
    <w:rsid w:val="65A96DEB"/>
    <w:rsid w:val="65D60872"/>
    <w:rsid w:val="65E27FB4"/>
    <w:rsid w:val="6601141B"/>
    <w:rsid w:val="662F075A"/>
    <w:rsid w:val="665436C7"/>
    <w:rsid w:val="6681231C"/>
    <w:rsid w:val="670F3085"/>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2023-07-27T05:36:06Z</dcterms:modified>
  <cp:revision>63</cp:revision>
  <dc:description/>
  <dc:identifier/>
  <dc:language/>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