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Ansi="等线" w:cstheme="minorHAnsi"/>
          <w:b/>
          <w:szCs w:val="21"/>
        </w:rPr>
      </w:pPr>
    </w:p>
    <w:p>
      <w:pPr>
        <w:wordWrap w:val="0"/>
        <w:jc w:val="right"/>
        <w:rPr>
          <w:rFonts w:hAnsi="等线"/>
          <w:szCs w:val="21"/>
        </w:rPr>
      </w:pPr>
      <w:r>
        <w:rPr>
          <w:rFonts w:hAnsi="等线"/>
          <w:szCs w:val="21"/>
        </w:rPr>
        <w:t xml:space="preserve"> </w:t>
      </w:r>
    </w:p>
    <w:p>
      <w:pPr>
        <w:jc w:val="right"/>
        <w:rPr>
          <w:rFonts w:hAnsi="等线"/>
          <w:szCs w:val="21"/>
        </w:rPr>
      </w:pPr>
    </w:p>
    <w:p>
      <w:pPr>
        <w:jc w:val="right"/>
        <w:rPr>
          <w:rFonts w:hAnsi="等线"/>
          <w:szCs w:val="21"/>
        </w:rPr>
      </w:pPr>
    </w:p>
    <w:p>
      <w:pPr>
        <w:jc w:val="right"/>
        <w:rPr>
          <w:rFonts w:hAnsi="等线"/>
          <w:szCs w:val="21"/>
        </w:rPr>
      </w:pPr>
    </w:p>
    <w:p>
      <w:pPr>
        <w:jc w:val="center"/>
        <w:rPr>
          <w:rFonts w:hAnsi="等线" w:cs="楷体"/>
          <w:b/>
          <w:bCs/>
          <w:color w:val="00A0E9"/>
          <w:sz w:val="84"/>
          <w:szCs w:val="84"/>
        </w:rPr>
      </w:pPr>
      <w:r>
        <w:rPr>
          <w:rFonts w:hint="eastAsia" w:hAnsi="等线" w:cs="楷体"/>
          <w:b/>
          <w:bCs/>
          <w:color w:val="00A0E9"/>
          <w:sz w:val="84"/>
          <w:szCs w:val="84"/>
        </w:rPr>
        <w:drawing>
          <wp:anchor distT="0" distB="0" distL="114300" distR="114300" simplePos="0" relativeHeight="251687936" behindDoc="0" locked="0" layoutInCell="1" allowOverlap="1">
            <wp:simplePos x="0" y="0"/>
            <wp:positionH relativeFrom="column">
              <wp:posOffset>588010</wp:posOffset>
            </wp:positionH>
            <wp:positionV relativeFrom="paragraph">
              <wp:posOffset>476250</wp:posOffset>
            </wp:positionV>
            <wp:extent cx="5050790" cy="4588510"/>
            <wp:effectExtent l="0" t="0" r="3810" b="8890"/>
            <wp:wrapNone/>
            <wp:docPr id="1001" name="图片 4" descr="摄图网_500847286_医生手上的人形DNA（非企业商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摄图网_500847286_医生手上的人形DNA（非企业商用）"/>
                    <pic:cNvPicPr>
                      <a:picLocks noChangeAspect="1"/>
                    </pic:cNvPicPr>
                  </pic:nvPicPr>
                  <pic:blipFill>
                    <a:blip r:embed="rId9"/>
                    <a:stretch>
                      <a:fillRect/>
                    </a:stretch>
                  </pic:blipFill>
                  <pic:spPr>
                    <a:xfrm>
                      <a:off x="0" y="0"/>
                      <a:ext cx="5050790" cy="4588510"/>
                    </a:xfrm>
                    <a:prstGeom prst="rect">
                      <a:avLst/>
                    </a:prstGeom>
                  </pic:spPr>
                </pic:pic>
              </a:graphicData>
            </a:graphic>
          </wp:anchor>
        </w:drawing>
      </w:r>
    </w:p>
    <w:p>
      <w:pPr>
        <w:jc w:val="center"/>
        <w:rPr>
          <w:rFonts w:hAnsi="等线" w:cs="楷体"/>
          <w:b/>
          <w:bCs/>
          <w:color w:val="00A0E9"/>
          <w:sz w:val="84"/>
          <w:szCs w:val="84"/>
        </w:rPr>
      </w:pPr>
    </w:p>
    <w:p>
      <w:pPr>
        <w:jc w:val="center"/>
        <w:rPr>
          <w:rFonts w:hAnsi="等线" w:cs="楷体"/>
          <w:b/>
          <w:bCs/>
          <w:color w:val="00A0E9"/>
          <w:sz w:val="84"/>
          <w:szCs w:val="84"/>
        </w:rPr>
      </w:pPr>
    </w:p>
    <w:p>
      <w:pPr>
        <w:jc w:val="center"/>
        <w:rPr>
          <w:rFonts w:hAnsi="等线" w:cs="楷体"/>
          <w:b/>
          <w:bCs/>
          <w:color w:val="00A0E9"/>
          <w:sz w:val="84"/>
          <w:szCs w:val="84"/>
        </w:rPr>
      </w:pPr>
    </w:p>
    <w:p>
      <w:pPr>
        <w:jc w:val="center"/>
        <w:rPr>
          <w:rFonts w:hAnsi="等线" w:cs="楷体"/>
          <w:b/>
          <w:bCs/>
          <w:color w:val="00A0E9"/>
          <w:sz w:val="84"/>
          <w:szCs w:val="84"/>
        </w:rPr>
      </w:pPr>
    </w:p>
    <w:p>
      <w:pPr>
        <w:jc w:val="center"/>
        <w:rPr>
          <w:rFonts w:hAnsi="等线" w:cs="楷体"/>
          <w:b/>
          <w:bCs/>
          <w:color w:val="00A0E9"/>
          <w:sz w:val="84"/>
          <w:szCs w:val="84"/>
        </w:rPr>
      </w:pPr>
    </w:p>
    <w:p>
      <w:pPr>
        <w:jc w:val="center"/>
        <w:rPr>
          <w:rFonts w:hAnsi="等线" w:cs="楷体"/>
          <w:b/>
          <w:bCs/>
          <w:color w:val="00A0E9"/>
          <w:sz w:val="84"/>
          <w:szCs w:val="84"/>
        </w:rPr>
      </w:pPr>
    </w:p>
    <w:p>
      <w:pPr>
        <w:jc w:val="center"/>
        <w:rPr>
          <w:rFonts w:hAnsi="等线" w:cs="楷体"/>
          <w:b/>
          <w:bCs/>
          <w:color w:val="00A0E9"/>
          <w:szCs w:val="21"/>
        </w:rPr>
      </w:pPr>
      <w:r>
        <w:rPr>
          <w:rFonts w:hint="eastAsia" w:ascii="黑体" w:hAnsi="黑体" w:eastAsia="黑体" w:cs="黑体"/>
          <w:b/>
          <w:bCs/>
          <w:color w:val="00A0E9"/>
          <w:sz w:val="84"/>
          <w:szCs w:val="84"/>
        </w:rPr>
        <w:t>肿瘤基因检测报告</w:t>
      </w:r>
    </w:p>
    <w:p>
      <w:pPr>
        <w:jc w:val="center"/>
        <w:rPr>
          <w:rFonts w:hAnsi="等线" w:cs="楷体"/>
          <w:b/>
          <w:bCs/>
          <w:color w:val="00A0E9"/>
          <w:szCs w:val="21"/>
        </w:rPr>
      </w:pPr>
    </w:p>
    <w:p>
      <w:pPr>
        <w:jc w:val="center"/>
        <w:rPr>
          <w:rFonts w:hAnsi="等线" w:cs="楷体"/>
          <w:b/>
          <w:bCs/>
          <w:color w:val="00A0E9"/>
          <w:szCs w:val="21"/>
        </w:rPr>
      </w:pPr>
    </w:p>
    <w:p>
      <w:pPr>
        <w:jc w:val="center"/>
        <w:rPr>
          <w:rFonts w:hint="default" w:hAnsi="等线" w:cs="楷体"/>
          <w:b/>
          <w:bCs/>
          <w:color w:val="00A0E9"/>
          <w:sz w:val="40"/>
          <w:szCs w:val="40"/>
          <w:lang w:val="en-US"/>
        </w:rPr>
      </w:pPr>
      <w:r>
        <w:rPr>
          <w:rFonts w:hint="eastAsia" w:ascii="楷体" w:hAnsi="楷体" w:eastAsia="楷体" w:cs="楷体"/>
          <w:b/>
          <w:bCs/>
          <w:color w:val="00A0E9"/>
          <w:sz w:val="40"/>
          <w:szCs w:val="40"/>
        </w:rPr>
        <w:t>检测项目：</w:t>
      </w:r>
      <w:r>
        <w:rPr>
          <w:rFonts w:hint="eastAsia" w:ascii="楷体" w:hAnsi="楷体" w:eastAsia="楷体" w:cs="楷体"/>
          <w:b/>
          <w:bCs/>
          <w:color w:val="00A0E9"/>
          <w:sz w:val="40"/>
          <w:szCs w:val="40"/>
          <w:lang w:val="en-US" w:eastAsia="zh-CN"/>
        </w:rPr>
        <w:t>结直肠</w:t>
      </w:r>
      <w:r>
        <w:rPr>
          <w:rFonts w:hint="eastAsia" w:ascii="楷体" w:hAnsi="楷体" w:eastAsia="楷体" w:cs="楷体"/>
          <w:b/>
          <w:bCs/>
          <w:color w:val="00A0E9"/>
          <w:sz w:val="40"/>
          <w:szCs w:val="40"/>
        </w:rPr>
        <w:t>癌</w:t>
      </w:r>
      <w:r>
        <w:rPr>
          <w:rFonts w:hint="eastAsia" w:ascii="楷体" w:hAnsi="楷体" w:eastAsia="楷体" w:cs="楷体"/>
          <w:b/>
          <w:bCs/>
          <w:color w:val="00A0E9"/>
          <w:sz w:val="40"/>
          <w:szCs w:val="40"/>
          <w:lang w:val="en-US" w:eastAsia="zh-CN"/>
        </w:rPr>
        <w:t>88</w:t>
      </w:r>
      <w:r>
        <w:rPr>
          <w:rFonts w:hint="eastAsia" w:ascii="楷体" w:hAnsi="楷体" w:eastAsia="楷体" w:cs="楷体"/>
          <w:b/>
          <w:bCs/>
          <w:color w:val="00A0E9"/>
          <w:sz w:val="40"/>
          <w:szCs w:val="40"/>
        </w:rPr>
        <w:t>基因检测报告（</w:t>
      </w:r>
      <w:r>
        <w:rPr>
          <w:rFonts w:hint="eastAsia" w:ascii="楷体" w:hAnsi="楷体" w:eastAsia="楷体" w:cs="楷体"/>
          <w:b/>
          <w:bCs/>
          <w:color w:val="00A0E9"/>
          <w:sz w:val="40"/>
          <w:szCs w:val="40"/>
          <w:lang w:val="en-US" w:eastAsia="zh-CN"/>
        </w:rPr>
        <w:t>血液</w:t>
      </w:r>
      <w:r>
        <w:rPr>
          <w:rFonts w:hint="eastAsia" w:ascii="楷体" w:hAnsi="楷体" w:eastAsia="楷体" w:cs="楷体"/>
          <w:b/>
          <w:bCs/>
          <w:color w:val="00A0E9"/>
          <w:sz w:val="40"/>
          <w:szCs w:val="40"/>
        </w:rPr>
        <w:t>版）</w:t>
      </w:r>
    </w:p>
    <w:p>
      <w:pPr>
        <w:rPr>
          <w:rFonts w:hAnsi="等线" w:cstheme="minorHAnsi"/>
          <w:b/>
          <w:szCs w:val="21"/>
        </w:rPr>
      </w:pPr>
    </w:p>
    <w:p>
      <w:pPr>
        <w:rPr>
          <w:rFonts w:hAnsi="等线" w:cstheme="minorHAnsi"/>
          <w:b/>
          <w:szCs w:val="21"/>
        </w:rPr>
      </w:pPr>
    </w:p>
    <w:p>
      <w:pPr>
        <w:rPr>
          <w:rFonts w:hAnsi="等线" w:cstheme="minorHAnsi"/>
          <w:b/>
          <w:szCs w:val="21"/>
        </w:rPr>
      </w:pPr>
    </w:p>
    <w:p>
      <w:pPr>
        <w:rPr>
          <w:rFonts w:hAnsi="等线"/>
          <w:szCs w:val="21"/>
        </w:rPr>
        <w:sectPr>
          <w:headerReference r:id="rId3" w:type="default"/>
          <w:pgSz w:w="11906" w:h="16838"/>
          <w:pgMar w:top="851" w:right="1134" w:bottom="1440" w:left="1134" w:header="680" w:footer="238" w:gutter="0"/>
          <w:pgBorders>
            <w:top w:val="none" w:sz="0" w:space="0"/>
            <w:left w:val="none" w:sz="0" w:space="0"/>
            <w:bottom w:val="none" w:sz="0" w:space="0"/>
            <w:right w:val="none" w:sz="0" w:space="0"/>
          </w:pgBorders>
          <w:pgNumType w:start="1"/>
          <w:cols w:space="425" w:num="1"/>
          <w:titlePg/>
          <w:docGrid w:type="lines" w:linePitch="312" w:charSpace="0"/>
        </w:sectPr>
      </w:pPr>
      <w:r>
        <w:rPr>
          <w:rFonts w:hAnsi="等线"/>
          <w:szCs w:val="21"/>
        </w:rPr>
        <w:br w:type="page"/>
      </w:r>
    </w:p>
    <w:p>
      <w:pPr>
        <w:rPr>
          <w:rFonts w:hAnsi="等线"/>
          <w:szCs w:val="21"/>
        </w:rPr>
      </w:pPr>
      <w:r>
        <w:rPr>
          <w:rFonts w:hAnsi="等线"/>
        </w:rPr>
        <mc:AlternateContent>
          <mc:Choice Requires="wps">
            <w:drawing>
              <wp:anchor distT="0" distB="0" distL="114300" distR="114300" simplePos="0" relativeHeight="251685888" behindDoc="1" locked="0" layoutInCell="1" allowOverlap="1">
                <wp:simplePos x="0" y="0"/>
                <wp:positionH relativeFrom="column">
                  <wp:posOffset>-341630</wp:posOffset>
                </wp:positionH>
                <wp:positionV relativeFrom="paragraph">
                  <wp:posOffset>-10795</wp:posOffset>
                </wp:positionV>
                <wp:extent cx="6329680" cy="9231630"/>
                <wp:effectExtent l="13970" t="1270" r="19050" b="25400"/>
                <wp:wrapNone/>
                <wp:docPr id="1002" name="矩形 4"/>
                <wp:cNvGraphicFramePr/>
                <a:graphic xmlns:a="http://schemas.openxmlformats.org/drawingml/2006/main">
                  <a:graphicData uri="http://schemas.microsoft.com/office/word/2010/wordprocessingShape">
                    <wps:wsp>
                      <wps:cNvSpPr/>
                      <wps:spPr>
                        <a:xfrm>
                          <a:off x="0" y="0"/>
                          <a:ext cx="6329680" cy="9231664"/>
                        </a:xfrm>
                        <a:prstGeom prst="rect">
                          <a:avLst/>
                        </a:prstGeom>
                        <a:noFill/>
                        <a:ln w="28575" cap="flat" cmpd="sng" algn="ctr">
                          <a:solidFill>
                            <a:srgbClr val="00B0F0"/>
                          </a:solidFill>
                          <a:prstDash val="lgDashDot"/>
                          <a:miter lim="800000"/>
                        </a:ln>
                        <a:effectLst/>
                      </wps:spPr>
                      <wps:style>
                        <a:lnRef idx="2">
                          <a:schemeClr val="accent1">
                            <a:shade val="50000"/>
                          </a:schemeClr>
                        </a:lnRef>
                        <a:fillRef idx="1">
                          <a:schemeClr val="accent1"/>
                        </a:fillRef>
                        <a:effectRef idx="0">
                          <a:schemeClr val="accent1"/>
                        </a:effectRef>
                        <a:fontRef idx="minor">
                          <a:schemeClr val="lt1"/>
                        </a:fontRef>
                      </wps:style>
                      <wps:txbx>
                        <w:txbxContent>
                          <w:p>
                            <w:pPr>
                              <w:widowControl/>
                              <w:snapToGrid w:val="0"/>
                              <w:spacing w:before="156" w:beforeLines="50" w:after="156" w:afterLines="50" w:line="360" w:lineRule="auto"/>
                              <w:ind w:firstLine="420"/>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4" o:spid="_x0000_s1026" o:spt="1" style="position:absolute;left:0pt;margin-left:-26.9pt;margin-top:-0.85pt;height:726.9pt;width:498.4pt;z-index:-251630592;v-text-anchor:middle;mso-width-relative:page;mso-height-relative:page;" filled="f" stroked="t" coordsize="21600,21600" o:gfxdata="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">
                <v:fill on="f" focussize="0,0"/>
                <v:stroke weight="2.25pt" color="#00B0F0 [3204]" miterlimit="8" joinstyle="miter" dashstyle="longDashDot"/>
                <v:imagedata o:title=""/>
                <o:lock v:ext="edit" aspectratio="f"/>
                <v:textbox>
                  <w:txbxContent>
                    <w:p>
                      <w:pPr>
                        <w:widowControl/>
                        <w:snapToGrid w:val="0"/>
                        <w:spacing w:before="156" w:beforeLines="50" w:after="156" w:afterLines="50" w:line="360" w:lineRule="auto"/>
                        <w:ind w:firstLine="420"/>
                      </w:pPr>
                    </w:p>
                  </w:txbxContent>
                </v:textbox>
              </v:rect>
            </w:pict>
          </mc:Fallback>
        </mc:AlternateContent>
      </w:r>
    </w:p>
    <w:p>
      <w:pPr>
        <w:rPr>
          <w:rFonts w:hAnsi="等线"/>
        </w:rPr>
      </w:pPr>
      <w:bookmarkStart w:id="0" w:name="前言"/>
      <w:bookmarkEnd w:id="0"/>
    </w:p>
    <w:p>
      <w:pPr>
        <w:keepNext w:val="0"/>
        <w:keepLines w:val="0"/>
        <w:pageBreakBefore w:val="0"/>
        <w:widowControl/>
        <w:kinsoku/>
        <w:wordWrap/>
        <w:overflowPunct/>
        <w:topLinePunct w:val="0"/>
        <w:autoSpaceDE/>
        <w:autoSpaceDN/>
        <w:bidi w:val="0"/>
        <w:adjustRightInd/>
        <w:snapToGrid w:val="0"/>
        <w:spacing w:before="156" w:beforeLines="50" w:after="156" w:afterLines="50" w:line="420" w:lineRule="auto"/>
        <w:ind w:right="-21" w:rightChars="-10"/>
        <w:textAlignment w:val="auto"/>
        <w:rPr>
          <w:rFonts w:ascii="幼圆" w:hAnsi="幼圆" w:eastAsia="幼圆" w:cs="幼圆"/>
          <w:b/>
          <w:bCs/>
          <w:sz w:val="24"/>
          <w:szCs w:val="24"/>
        </w:rPr>
      </w:pPr>
      <w:r>
        <w:rPr>
          <w:rFonts w:hint="eastAsia" w:ascii="幼圆" w:hAnsi="幼圆" w:eastAsia="幼圆" w:cs="幼圆"/>
          <w:b/>
          <w:bCs/>
          <w:sz w:val="24"/>
          <w:szCs w:val="24"/>
        </w:rPr>
        <w:t>亲爱的先生/女士：</w:t>
      </w:r>
    </w:p>
    <w:p>
      <w:pPr>
        <w:keepNext w:val="0"/>
        <w:keepLines w:val="0"/>
        <w:pageBreakBefore w:val="0"/>
        <w:widowControl/>
        <w:kinsoku/>
        <w:wordWrap/>
        <w:overflowPunct/>
        <w:topLinePunct w:val="0"/>
        <w:autoSpaceDE/>
        <w:autoSpaceDN/>
        <w:bidi w:val="0"/>
        <w:adjustRightInd/>
        <w:snapToGrid w:val="0"/>
        <w:spacing w:before="156" w:beforeLines="50" w:after="156" w:afterLines="50" w:line="420" w:lineRule="auto"/>
        <w:ind w:firstLine="420"/>
        <w:textAlignment w:val="auto"/>
        <w:rPr>
          <w:rFonts w:ascii="幼圆" w:hAnsi="幼圆" w:eastAsia="幼圆" w:cs="幼圆"/>
          <w:b/>
          <w:bCs/>
          <w:color w:val="00B0F0"/>
          <w:szCs w:val="21"/>
        </w:rPr>
      </w:pPr>
      <w:r>
        <w:rPr>
          <w:rFonts w:hint="eastAsia" w:ascii="幼圆" w:hAnsi="幼圆" w:eastAsia="幼圆" w:cs="幼圆"/>
          <w:b/>
          <w:bCs/>
          <w:color w:val="00B0F0"/>
          <w:sz w:val="24"/>
          <w:szCs w:val="24"/>
        </w:rPr>
        <w:t>感谢您选择本公司的肿瘤基因检测及咨询服务</w:t>
      </w:r>
      <w:r>
        <w:rPr>
          <w:rFonts w:hint="eastAsia" w:ascii="幼圆" w:hAnsi="幼圆" w:eastAsia="幼圆" w:cs="幼圆"/>
          <w:b/>
          <w:bCs/>
          <w:color w:val="00B0F0"/>
          <w:szCs w:val="21"/>
        </w:rPr>
        <w:t>。</w:t>
      </w:r>
    </w:p>
    <w:p>
      <w:pPr>
        <w:keepNext w:val="0"/>
        <w:keepLines w:val="0"/>
        <w:pageBreakBefore w:val="0"/>
        <w:widowControl/>
        <w:kinsoku/>
        <w:wordWrap/>
        <w:overflowPunct/>
        <w:topLinePunct w:val="0"/>
        <w:autoSpaceDE/>
        <w:autoSpaceDN/>
        <w:bidi w:val="0"/>
        <w:adjustRightInd/>
        <w:snapToGrid w:val="0"/>
        <w:spacing w:before="156" w:beforeLines="50" w:after="156" w:afterLines="50" w:line="420" w:lineRule="auto"/>
        <w:ind w:firstLine="420"/>
        <w:textAlignment w:val="auto"/>
        <w:rPr>
          <w:rFonts w:ascii="华康黑体W3" w:hAnsi="华康黑体W3" w:eastAsia="华康黑体W3" w:cs="华康黑体W3"/>
          <w:b/>
          <w:bCs/>
          <w:color w:val="404040" w:themeColor="text1" w:themeTint="BF"/>
          <w:sz w:val="20"/>
          <w:szCs w:val="20"/>
          <w14:textFill>
            <w14:solidFill>
              <w14:schemeClr w14:val="tx1">
                <w14:lumMod w14:val="75000"/>
                <w14:lumOff w14:val="25000"/>
              </w14:schemeClr>
            </w14:solidFill>
          </w14:textFill>
        </w:rPr>
      </w:pPr>
      <w:r>
        <w:rPr>
          <w:rFonts w:hint="eastAsia" w:ascii="华康黑体W3" w:hAnsi="华康黑体W3" w:eastAsia="华康黑体W3" w:cs="华康黑体W3"/>
          <w:b/>
          <w:bCs/>
          <w:color w:val="404040" w:themeColor="text1" w:themeTint="BF"/>
          <w:sz w:val="20"/>
          <w:szCs w:val="20"/>
          <w14:textFill>
            <w14:solidFill>
              <w14:schemeClr w14:val="tx1">
                <w14:lumMod w14:val="75000"/>
                <w14:lumOff w14:val="25000"/>
              </w14:schemeClr>
            </w14:solidFill>
          </w14:textFill>
        </w:rPr>
        <w:t>我们秉承科学严谨、认真负责的态度，竭诚为您提供规范科学、专业的肿瘤基因检测及咨询服务。</w:t>
      </w:r>
    </w:p>
    <w:p>
      <w:pPr>
        <w:keepNext w:val="0"/>
        <w:keepLines w:val="0"/>
        <w:pageBreakBefore w:val="0"/>
        <w:widowControl/>
        <w:kinsoku/>
        <w:wordWrap/>
        <w:overflowPunct/>
        <w:topLinePunct w:val="0"/>
        <w:autoSpaceDE/>
        <w:autoSpaceDN/>
        <w:bidi w:val="0"/>
        <w:adjustRightInd/>
        <w:snapToGrid w:val="0"/>
        <w:spacing w:before="156" w:beforeLines="50" w:after="156" w:afterLines="50" w:line="420" w:lineRule="auto"/>
        <w:ind w:firstLine="420"/>
        <w:textAlignment w:val="auto"/>
        <w:rPr>
          <w:rFonts w:ascii="华康黑体W3" w:hAnsi="华康黑体W3" w:eastAsia="华康黑体W3" w:cs="华康黑体W3"/>
          <w:b/>
          <w:bCs/>
          <w:color w:val="404040" w:themeColor="text1" w:themeTint="BF"/>
          <w:sz w:val="20"/>
          <w:szCs w:val="20"/>
          <w14:textFill>
            <w14:solidFill>
              <w14:schemeClr w14:val="tx1">
                <w14:lumMod w14:val="75000"/>
                <w14:lumOff w14:val="25000"/>
              </w14:schemeClr>
            </w14:solidFill>
          </w14:textFill>
        </w:rPr>
      </w:pPr>
      <w:r>
        <w:rPr>
          <w:rFonts w:hint="eastAsia" w:ascii="华康黑体W3" w:hAnsi="华康黑体W3" w:eastAsia="华康黑体W3" w:cs="华康黑体W3"/>
          <w:b/>
          <w:bCs/>
          <w:color w:val="404040" w:themeColor="text1" w:themeTint="BF"/>
          <w:sz w:val="20"/>
          <w:szCs w:val="20"/>
          <w14:textFill>
            <w14:solidFill>
              <w14:schemeClr w14:val="tx1">
                <w14:lumMod w14:val="75000"/>
                <w14:lumOff w14:val="25000"/>
              </w14:schemeClr>
            </w14:solidFill>
          </w14:textFill>
        </w:rPr>
        <w:t>癌症严重威胁人类健康和生命，已成为最严峻的公共卫生问题之一。</w:t>
      </w:r>
      <w:r>
        <w:rPr>
          <w:rFonts w:hint="eastAsia" w:ascii="华康黑体W3" w:hAnsi="华康黑体W3" w:eastAsia="华康黑体W3" w:cs="华康黑体W3"/>
          <w:b/>
          <w:bCs/>
          <w:color w:val="404040" w:themeColor="text1" w:themeTint="BF"/>
          <w:sz w:val="20"/>
          <w:szCs w:val="20"/>
          <w:lang w:val="en-US" w:eastAsia="zh-CN"/>
          <w14:textFill>
            <w14:solidFill>
              <w14:schemeClr w14:val="tx1">
                <w14:lumMod w14:val="75000"/>
                <w14:lumOff w14:val="25000"/>
              </w14:schemeClr>
            </w14:solidFill>
          </w14:textFill>
        </w:rPr>
        <w:t>结直肠癌（Colorectal Cancer，CRC）是常见恶性肿瘤，发病率和死亡率均呈上升趋势，据2020年全球癌症统计数据，我国CRC新发病例为55.5万，居恶性肿瘤第三位。发病率为23.9/10万，男性高于女性；死亡率为12.0/10万，居第五位。国家癌症中心最新统计数据显示，我国CRC新发人数占所有新发恶性肿瘤的9.9%。我国结肠癌发生率与直肠癌发生率接近1:1。</w:t>
      </w:r>
      <w:r>
        <w:rPr>
          <w:rFonts w:hint="eastAsia" w:ascii="华康黑体W3" w:hAnsi="华康黑体W3" w:eastAsia="华康黑体W3" w:cs="华康黑体W3"/>
          <w:b/>
          <w:bCs/>
          <w:color w:val="404040" w:themeColor="text1" w:themeTint="BF"/>
          <w:sz w:val="20"/>
          <w:szCs w:val="20"/>
          <w14:textFill>
            <w14:solidFill>
              <w14:schemeClr w14:val="tx1">
                <w14:lumMod w14:val="75000"/>
                <w14:lumOff w14:val="25000"/>
              </w14:schemeClr>
            </w14:solidFill>
          </w14:textFill>
        </w:rPr>
        <w:t>众多研究结果证实，基因变异在肿瘤的发生发展过程中起着重要作用，肿瘤基因检测能为疾病诊断、治疗和预后提供帮助。如今，随着靶向治疗和免疫疗法的不断发展，肿瘤的治疗已从传统的化放疗和手术治疗走向更精准的肿瘤个体化诊疗。肿瘤医学也从经验医学和循证医学逐步发展为如今的精准医学。</w:t>
      </w:r>
    </w:p>
    <w:p>
      <w:pPr>
        <w:keepNext w:val="0"/>
        <w:keepLines w:val="0"/>
        <w:pageBreakBefore w:val="0"/>
        <w:widowControl/>
        <w:kinsoku/>
        <w:wordWrap/>
        <w:overflowPunct/>
        <w:topLinePunct w:val="0"/>
        <w:autoSpaceDE/>
        <w:autoSpaceDN/>
        <w:bidi w:val="0"/>
        <w:adjustRightInd/>
        <w:snapToGrid w:val="0"/>
        <w:spacing w:before="156" w:beforeLines="50" w:after="156" w:afterLines="50" w:line="420" w:lineRule="auto"/>
        <w:ind w:firstLine="420"/>
        <w:textAlignment w:val="auto"/>
        <w:rPr>
          <w:rFonts w:ascii="华康黑体W3" w:hAnsi="华康黑体W3" w:eastAsia="华康黑体W3" w:cs="华康黑体W3"/>
          <w:b/>
          <w:bCs/>
          <w:color w:val="404040" w:themeColor="text1" w:themeTint="BF"/>
          <w:sz w:val="20"/>
          <w:szCs w:val="20"/>
          <w:highlight w:val="none"/>
          <w14:textFill>
            <w14:solidFill>
              <w14:schemeClr w14:val="tx1">
                <w14:lumMod w14:val="75000"/>
                <w14:lumOff w14:val="25000"/>
              </w14:schemeClr>
            </w14:solidFill>
          </w14:textFill>
        </w:rPr>
      </w:pPr>
      <w:r>
        <w:rPr>
          <w:rFonts w:hint="eastAsia" w:ascii="华康黑体W3" w:hAnsi="华康黑体W3" w:eastAsia="华康黑体W3" w:cs="华康黑体W3"/>
          <w:b/>
          <w:bCs/>
          <w:color w:val="404040" w:themeColor="text1" w:themeTint="BF"/>
          <w:sz w:val="20"/>
          <w:szCs w:val="20"/>
          <w14:textFill>
            <w14:solidFill>
              <w14:schemeClr w14:val="tx1">
                <w14:lumMod w14:val="75000"/>
                <w14:lumOff w14:val="25000"/>
              </w14:schemeClr>
            </w14:solidFill>
          </w14:textFill>
        </w:rPr>
        <w:t>本公司推出的精准医疗系列产品基于二代测序等高通量基因检测平台，通过检测肿瘤相关基因，了解患者的肿瘤基因信息，为患者提供科学、详细的检测报告和有针对性的个性化用药建议。本检测全面覆盖并</w:t>
      </w:r>
      <w:r>
        <w:rPr>
          <w:rFonts w:hint="eastAsia" w:ascii="华康黑体W3" w:hAnsi="华康黑体W3" w:eastAsia="华康黑体W3" w:cs="华康黑体W3"/>
          <w:b/>
          <w:bCs/>
          <w:color w:val="404040" w:themeColor="text1" w:themeTint="BF"/>
          <w:sz w:val="20"/>
          <w:szCs w:val="20"/>
          <w:highlight w:val="none"/>
          <w14:textFill>
            <w14:solidFill>
              <w14:schemeClr w14:val="tx1">
                <w14:lumMod w14:val="75000"/>
                <w14:lumOff w14:val="25000"/>
              </w14:schemeClr>
            </w14:solidFill>
          </w14:textFill>
        </w:rPr>
        <w:t>提示</w:t>
      </w:r>
      <w:r>
        <w:rPr>
          <w:rFonts w:hint="eastAsia" w:ascii="华康黑体W3" w:hAnsi="华康黑体W3" w:eastAsia="华康黑体W3" w:cs="华康黑体W3"/>
          <w:b/>
          <w:bCs/>
          <w:color w:val="404040" w:themeColor="text1" w:themeTint="BF"/>
          <w:sz w:val="20"/>
          <w:szCs w:val="20"/>
          <w:highlight w:val="none"/>
          <w:lang w:val="en-US" w:eastAsia="zh-CN"/>
          <w14:textFill>
            <w14:solidFill>
              <w14:schemeClr w14:val="tx1">
                <w14:lumMod w14:val="75000"/>
                <w14:lumOff w14:val="25000"/>
              </w14:schemeClr>
            </w14:solidFill>
          </w14:textFill>
        </w:rPr>
        <w:t>结直肠癌</w:t>
      </w:r>
      <w:r>
        <w:rPr>
          <w:rFonts w:hint="eastAsia" w:ascii="华康黑体W3" w:hAnsi="华康黑体W3" w:eastAsia="华康黑体W3" w:cs="华康黑体W3"/>
          <w:b/>
          <w:bCs/>
          <w:color w:val="404040" w:themeColor="text1" w:themeTint="BF"/>
          <w:sz w:val="20"/>
          <w:szCs w:val="20"/>
          <w:highlight w:val="none"/>
          <w14:textFill>
            <w14:solidFill>
              <w14:schemeClr w14:val="tx1">
                <w14:lumMod w14:val="75000"/>
                <w14:lumOff w14:val="25000"/>
              </w14:schemeClr>
            </w14:solidFill>
          </w14:textFill>
        </w:rPr>
        <w:t>NMPA/FDA所批准、</w:t>
      </w:r>
      <w:r>
        <w:rPr>
          <w:rFonts w:hint="eastAsia" w:ascii="华康黑体W3" w:hAnsi="华康黑体W3" w:eastAsia="华康黑体W3" w:cs="华康黑体W3"/>
          <w:b/>
          <w:bCs/>
          <w:color w:val="404040" w:themeColor="text1" w:themeTint="BF"/>
          <w:sz w:val="20"/>
          <w:szCs w:val="20"/>
          <w:highlight w:val="none"/>
          <w:lang w:val="en-US" w:eastAsia="zh-CN"/>
          <w14:textFill>
            <w14:solidFill>
              <w14:schemeClr w14:val="tx1">
                <w14:lumMod w14:val="75000"/>
                <w14:lumOff w14:val="25000"/>
              </w14:schemeClr>
            </w14:solidFill>
          </w14:textFill>
        </w:rPr>
        <w:t>CSCO/</w:t>
      </w:r>
      <w:r>
        <w:rPr>
          <w:rFonts w:hint="eastAsia" w:ascii="华康黑体W3" w:hAnsi="华康黑体W3" w:eastAsia="华康黑体W3" w:cs="华康黑体W3"/>
          <w:b/>
          <w:bCs/>
          <w:color w:val="404040" w:themeColor="text1" w:themeTint="BF"/>
          <w:sz w:val="20"/>
          <w:szCs w:val="20"/>
          <w:highlight w:val="none"/>
          <w14:textFill>
            <w14:solidFill>
              <w14:schemeClr w14:val="tx1">
                <w14:lumMod w14:val="75000"/>
                <w14:lumOff w14:val="25000"/>
              </w14:schemeClr>
            </w14:solidFill>
          </w14:textFill>
        </w:rPr>
        <w:t>NCCN指南所涵盖的所有靶向治疗方案，以及跨癌种用药方案和国际临床试验药物。</w:t>
      </w:r>
    </w:p>
    <w:p>
      <w:pPr>
        <w:keepNext w:val="0"/>
        <w:keepLines w:val="0"/>
        <w:pageBreakBefore w:val="0"/>
        <w:widowControl/>
        <w:kinsoku/>
        <w:wordWrap/>
        <w:overflowPunct/>
        <w:topLinePunct w:val="0"/>
        <w:autoSpaceDE/>
        <w:autoSpaceDN/>
        <w:bidi w:val="0"/>
        <w:adjustRightInd/>
        <w:snapToGrid w:val="0"/>
        <w:spacing w:before="156" w:beforeLines="50" w:after="156" w:afterLines="50" w:line="420" w:lineRule="auto"/>
        <w:ind w:firstLine="420"/>
        <w:textAlignment w:val="auto"/>
        <w:rPr>
          <w:rFonts w:ascii="华康黑体W3" w:hAnsi="华康黑体W3" w:eastAsia="华康黑体W3" w:cs="华康黑体W3"/>
          <w:b/>
          <w:bCs/>
          <w:color w:val="404040" w:themeColor="text1" w:themeTint="BF"/>
          <w:sz w:val="20"/>
          <w:szCs w:val="20"/>
          <w14:textFill>
            <w14:solidFill>
              <w14:schemeClr w14:val="tx1">
                <w14:lumMod w14:val="75000"/>
                <w14:lumOff w14:val="25000"/>
              </w14:schemeClr>
            </w14:solidFill>
          </w14:textFill>
        </w:rPr>
      </w:pPr>
      <w:r>
        <w:rPr>
          <w:rFonts w:hint="eastAsia" w:ascii="华康黑体W3" w:hAnsi="华康黑体W3" w:eastAsia="华康黑体W3" w:cs="华康黑体W3"/>
          <w:b/>
          <w:bCs/>
          <w:color w:val="404040" w:themeColor="text1" w:themeTint="BF"/>
          <w:sz w:val="20"/>
          <w:szCs w:val="20"/>
          <w14:textFill>
            <w14:solidFill>
              <w14:schemeClr w14:val="tx1">
                <w14:lumMod w14:val="75000"/>
                <w14:lumOff w14:val="25000"/>
              </w14:schemeClr>
            </w14:solidFill>
          </w14:textFill>
        </w:rPr>
        <w:t>由于科学技术的局限性，现阶段人类对癌症的认知还存在诸多盲区，肿瘤基因检测结果不能保证解释所有临床现象和临床治疗结果，也不能保证寻找到可用药基因变异信息。癌症基因检测咨询服务在现有医学知识体系下，对本次送检样本负责。</w:t>
      </w:r>
    </w:p>
    <w:p>
      <w:pPr>
        <w:widowControl/>
        <w:snapToGrid w:val="0"/>
        <w:spacing w:before="156" w:beforeLines="50" w:after="156" w:afterLines="50" w:line="600" w:lineRule="auto"/>
        <w:ind w:firstLine="420"/>
        <w:jc w:val="right"/>
        <w:rPr>
          <w:rFonts w:ascii="幼圆" w:hAnsi="幼圆" w:eastAsia="幼圆" w:cs="幼圆"/>
          <w:b/>
          <w:bCs/>
          <w:color w:val="404040" w:themeColor="text1" w:themeTint="BF"/>
          <w:szCs w:val="21"/>
          <w14:textFill>
            <w14:solidFill>
              <w14:schemeClr w14:val="tx1">
                <w14:lumMod w14:val="75000"/>
                <w14:lumOff w14:val="25000"/>
              </w14:schemeClr>
            </w14:solidFill>
          </w14:textFill>
        </w:rPr>
      </w:pPr>
      <w:r>
        <w:rPr>
          <w:rFonts w:hint="eastAsia" w:ascii="幼圆" w:hAnsi="幼圆" w:eastAsia="幼圆" w:cs="幼圆"/>
          <w:b/>
          <w:bCs/>
          <w:color w:val="404040" w:themeColor="text1" w:themeTint="BF"/>
          <w:sz w:val="20"/>
          <w:szCs w:val="20"/>
          <w14:textFill>
            <w14:solidFill>
              <w14:schemeClr w14:val="tx1">
                <w14:lumMod w14:val="75000"/>
                <w14:lumOff w14:val="25000"/>
              </w14:schemeClr>
            </w14:solidFill>
          </w14:textFill>
        </w:rPr>
        <w:t>公司全体员工致上</w:t>
      </w:r>
    </w:p>
    <w:p>
      <w:pPr>
        <w:sectPr>
          <w:footerReference r:id="rId5" w:type="first"/>
          <w:headerReference r:id="rId4" w:type="default"/>
          <w:pgSz w:w="11906" w:h="16838"/>
          <w:pgMar w:top="851" w:right="1532" w:bottom="1440" w:left="1554" w:header="510" w:footer="567" w:gutter="0"/>
          <w:pgBorders>
            <w:top w:val="none" w:sz="0" w:space="0"/>
            <w:left w:val="none" w:sz="0" w:space="0"/>
            <w:bottom w:val="none" w:sz="0" w:space="0"/>
            <w:right w:val="none" w:sz="0" w:space="0"/>
          </w:pgBorders>
          <w:pgNumType w:start="0"/>
          <w:cols w:space="425" w:num="1"/>
          <w:titlePg/>
          <w:docGrid w:type="lines" w:linePitch="312" w:charSpace="0"/>
        </w:sectPr>
      </w:pPr>
      <w:r>
        <w:br w:type="page"/>
      </w:r>
    </w:p>
    <w:p>
      <w:pPr>
        <w:rPr>
          <w:rFonts w:hAnsi="等线"/>
          <w:b/>
          <w:bCs/>
          <w:sz w:val="84"/>
          <w:szCs w:val="84"/>
        </w:rPr>
      </w:pPr>
      <w:r>
        <w:rPr>
          <w:rFonts w:hAnsi="等线"/>
          <w:color w:val="01A0E9"/>
          <w:sz w:val="56"/>
          <w:szCs w:val="20"/>
        </w:rPr>
        <mc:AlternateContent>
          <mc:Choice Requires="wps">
            <w:drawing>
              <wp:anchor distT="0" distB="0" distL="114300" distR="114300" simplePos="0" relativeHeight="251661312" behindDoc="0" locked="0" layoutInCell="1" allowOverlap="1">
                <wp:simplePos x="0" y="0"/>
                <wp:positionH relativeFrom="column">
                  <wp:posOffset>1079500</wp:posOffset>
                </wp:positionH>
                <wp:positionV relativeFrom="paragraph">
                  <wp:posOffset>-70485</wp:posOffset>
                </wp:positionV>
                <wp:extent cx="2532380" cy="713740"/>
                <wp:effectExtent l="0" t="0" r="1270" b="0"/>
                <wp:wrapNone/>
                <wp:docPr id="1003" name="文本框 19"/>
                <wp:cNvGraphicFramePr/>
                <a:graphic xmlns:a="http://schemas.openxmlformats.org/drawingml/2006/main">
                  <a:graphicData uri="http://schemas.microsoft.com/office/word/2010/wordprocessingShape">
                    <wps:wsp>
                      <wps:cNvSpPr txBox="1"/>
                      <wps:spPr>
                        <a:xfrm>
                          <a:off x="0" y="0"/>
                          <a:ext cx="2532380" cy="713740"/>
                        </a:xfrm>
                        <a:prstGeom prst="rect">
                          <a:avLst/>
                        </a:prstGeom>
                        <a:noFill/>
                        <a:ln w="6350">
                          <a:noFill/>
                        </a:ln>
                        <a:effectLst/>
                      </wps:spPr>
                      <wps:txbx>
                        <w:txbxContent>
                          <w:p>
                            <w:pPr>
                              <w:rPr>
                                <w:sz w:val="24"/>
                                <w:szCs w:val="28"/>
                              </w:rPr>
                            </w:pPr>
                            <w:r>
                              <w:rPr>
                                <w:rFonts w:hint="eastAsia" w:ascii="黑体" w:hAnsi="黑体" w:eastAsia="黑体"/>
                                <w:color w:val="7F7F7F"/>
                                <w:sz w:val="52"/>
                                <w:szCs w:val="32"/>
                              </w:rPr>
                              <w:t>C O N T E N T S</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9" o:spid="_x0000_s1026" o:spt="202" type="#_x0000_t202" style="position:absolute;left:0pt;margin-left:85pt;margin-top:-5.55pt;height:56.2pt;width:199.4pt;z-index:251661312;mso-width-relative:page;mso-height-relative:page;" filled="f" stroked="f" coordsize="21600,21600" o:gfxdata="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J6a++raAAAACwEAAA8AAAAAAAAAAQAg&#10;AAAAIgAAAGRycy9kb3ducmV2LnhtbFBLAQIUABQAAAAIAIdO4kBKI+C0RQIAAHgEAAAOAAAAAAAA&#10;AAEAIAAAACkBAABkcnMvZTJvRG9jLnhtbFBLBQYAAAAABgAGAFkBAADgBQAAAAA=&#10;">
                <v:fill on="f" focussize="0,0"/>
                <v:stroke on="f" weight="0.5pt"/>
                <v:imagedata o:title=""/>
                <o:lock v:ext="edit" aspectratio="f"/>
                <v:textbox>
                  <w:txbxContent>
                    <w:p>
                      <w:pPr>
                        <w:rPr>
                          <w:sz w:val="24"/>
                          <w:szCs w:val="28"/>
                        </w:rPr>
                      </w:pPr>
                      <w:r>
                        <w:rPr>
                          <w:rFonts w:hint="eastAsia" w:ascii="黑体" w:hAnsi="黑体" w:eastAsia="黑体"/>
                          <w:color w:val="7F7F7F"/>
                          <w:sz w:val="52"/>
                          <w:szCs w:val="32"/>
                        </w:rPr>
                        <w:t>C O N T E N T S</w:t>
                      </w:r>
                    </w:p>
                  </w:txbxContent>
                </v:textbox>
              </v:shape>
            </w:pict>
          </mc:Fallback>
        </mc:AlternateContent>
      </w:r>
      <w:bookmarkStart w:id="1" w:name="_Ref80371375"/>
      <w:bookmarkStart w:id="2" w:name="_Toc81378415"/>
      <w:bookmarkStart w:id="3" w:name="_Hlk59006822"/>
      <w:r>
        <w:rPr>
          <w:rFonts w:hAnsi="等线"/>
          <w:color w:val="01A0E9"/>
          <w:sz w:val="56"/>
          <w:szCs w:val="20"/>
        </w:rPr>
        <mc:AlternateContent>
          <mc:Choice Requires="wps">
            <w:drawing>
              <wp:anchor distT="0" distB="0" distL="114300" distR="114300" simplePos="0" relativeHeight="251660288" behindDoc="0" locked="0" layoutInCell="1" allowOverlap="1">
                <wp:simplePos x="0" y="0"/>
                <wp:positionH relativeFrom="column">
                  <wp:posOffset>883920</wp:posOffset>
                </wp:positionH>
                <wp:positionV relativeFrom="paragraph">
                  <wp:posOffset>45720</wp:posOffset>
                </wp:positionV>
                <wp:extent cx="76200" cy="466725"/>
                <wp:effectExtent l="0" t="0" r="0" b="9525"/>
                <wp:wrapNone/>
                <wp:docPr id="1004" name="矩形 18"/>
                <wp:cNvGraphicFramePr/>
                <a:graphic xmlns:a="http://schemas.openxmlformats.org/drawingml/2006/main">
                  <a:graphicData uri="http://schemas.microsoft.com/office/word/2010/wordprocessingShape">
                    <wps:wsp>
                      <wps:cNvSpPr/>
                      <wps:spPr>
                        <a:xfrm>
                          <a:off x="2063115" y="1001395"/>
                          <a:ext cx="76200" cy="466725"/>
                        </a:xfrm>
                        <a:prstGeom prst="rect">
                          <a:avLst/>
                        </a:prstGeom>
                        <a:solidFill>
                          <a:srgbClr val="01A0E9"/>
                        </a:solidFill>
                        <a:ln w="12700" cap="flat" cmpd="sng" algn="ctr">
                          <a:no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18" o:spid="_x0000_s1026" o:spt="1" style="position:absolute;left:0pt;margin-left:69.6pt;margin-top:3.6pt;height:36.75pt;width:6pt;z-index:251660288;v-text-anchor:middle;mso-width-relative:page;mso-height-relative:page;" fillcolor="#01A0E9" filled="t" stroked="f" coordsize="21600,21600" o:gfxdata="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">
                <v:fill on="t" focussize="0,0"/>
                <v:stroke on="f" weight="1pt" miterlimit="8" joinstyle="miter"/>
                <v:imagedata o:title=""/>
                <o:lock v:ext="edit" aspectratio="f"/>
                <v:textbox>
                  <w:txbxContent>
                    <w:p>
                      <w:pPr>
                        <w:jc w:val="center"/>
                      </w:pPr>
                    </w:p>
                  </w:txbxContent>
                </v:textbox>
              </v:rect>
            </w:pict>
          </mc:Fallback>
        </mc:AlternateContent>
      </w:r>
      <w:r>
        <w:rPr>
          <w:rFonts w:hint="eastAsia" w:hAnsi="等线"/>
          <w:b/>
          <w:bCs/>
          <w:color w:val="01A0E9"/>
          <w:sz w:val="56"/>
          <w:szCs w:val="56"/>
        </w:rPr>
        <w:t>目录</w:t>
      </w:r>
      <w:r>
        <w:rPr>
          <w:rFonts w:hint="eastAsia" w:hAnsi="等线"/>
          <w:b/>
          <w:bCs/>
          <w:sz w:val="84"/>
          <w:szCs w:val="84"/>
        </w:rPr>
        <w:t xml:space="preserve"> </w:t>
      </w:r>
    </w:p>
    <w:p>
      <w:pPr>
        <w:keepNext w:val="0"/>
        <w:keepLines w:val="0"/>
        <w:pageBreakBefore w:val="0"/>
        <w:widowControl w:val="0"/>
        <w:kinsoku/>
        <w:wordWrap/>
        <w:overflowPunct/>
        <w:topLinePunct w:val="0"/>
        <w:autoSpaceDE/>
        <w:autoSpaceDN/>
        <w:bidi w:val="0"/>
        <w:adjustRightInd/>
        <w:snapToGrid/>
        <w:spacing w:line="60" w:lineRule="exact"/>
        <w:textAlignment w:val="auto"/>
      </w:pPr>
    </w:p>
    <w:tbl>
      <w:tblPr>
        <w:tblStyle w:val="21"/>
        <w:tblW w:w="4867" w:type="pct"/>
        <w:tblInd w:w="119"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377"/>
        <w:gridCol w:w="6630"/>
        <w:gridCol w:w="58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2377"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bookmarkStart w:id="4" w:name="_Toc89103137"/>
            <w:r>
              <w:rPr>
                <w:rFonts w:hint="eastAsia" w:ascii="微软雅黑" w:eastAsia="微软雅黑" w:cs="微软雅黑"/>
                <w:b/>
                <w:bCs/>
                <w:color w:val="00B0F0"/>
                <w:sz w:val="28"/>
                <w:szCs w:val="28"/>
              </w:rPr>
              <w:t>Part1</w:t>
            </w:r>
          </w:p>
        </w:tc>
        <w:tc>
          <w:tcPr>
            <w:tcW w:w="6630"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t>基本信息</w:t>
            </w:r>
          </w:p>
        </w:tc>
        <w:tc>
          <w:tcPr>
            <w:tcW w:w="586"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jc w:val="righ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fldChar w:fldCharType="begin"/>
            </w:r>
            <w:r>
              <w:rPr>
                <w:rFonts w:hint="eastAsia" w:ascii="微软雅黑" w:eastAsia="微软雅黑" w:cs="微软雅黑"/>
                <w:b/>
                <w:bCs/>
                <w:color w:val="00B0F0"/>
                <w:sz w:val="28"/>
                <w:szCs w:val="28"/>
              </w:rPr>
              <w:instrText xml:space="preserve"> PAGEREF Part1：基本信息 \h </w:instrText>
            </w:r>
            <w:r>
              <w:rPr>
                <w:rFonts w:hint="eastAsia" w:ascii="微软雅黑" w:eastAsia="微软雅黑" w:cs="微软雅黑"/>
                <w:b/>
                <w:bCs/>
                <w:color w:val="00B0F0"/>
                <w:sz w:val="28"/>
                <w:szCs w:val="28"/>
              </w:rPr>
              <w:fldChar w:fldCharType="separate"/>
            </w:r>
            <w:r>
              <w:rPr>
                <w:rFonts w:hint="eastAsia" w:ascii="微软雅黑" w:eastAsia="微软雅黑" w:cs="微软雅黑"/>
                <w:b/>
                <w:bCs/>
                <w:color w:val="00B0F0"/>
                <w:sz w:val="28"/>
                <w:szCs w:val="28"/>
              </w:rPr>
              <w:t>2</w:t>
            </w:r>
            <w:r>
              <w:rPr>
                <w:rFonts w:hint="eastAsia" w:ascii="微软雅黑" w:eastAsia="微软雅黑" w:cs="微软雅黑"/>
                <w:b/>
                <w:bCs/>
                <w:color w:val="00B0F0"/>
                <w:sz w:val="28"/>
                <w:szCs w:val="28"/>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pPr>
              <w:keepNext w:val="0"/>
              <w:keepLines w:val="0"/>
              <w:pageBreakBefore w:val="0"/>
              <w:widowControl w:val="0"/>
              <w:kinsoku/>
              <w:wordWrap/>
              <w:overflowPunct/>
              <w:topLinePunct w:val="0"/>
              <w:autoSpaceDE/>
              <w:autoSpaceDN/>
              <w:bidi w:val="0"/>
              <w:adjustRightInd/>
              <w:snapToGrid/>
              <w:spacing w:before="32" w:beforeLines="10" w:after="32" w:afterLines="10"/>
              <w:textAlignment w:val="auto"/>
            </w:p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pPr>
            <w:r>
              <w:rPr>
                <w:rFonts w:hint="eastAsia"/>
              </w:rPr>
              <w:t>受检者信息</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pPr>
            <w:r>
              <w:rPr>
                <w:sz w:val="20"/>
                <w:szCs w:val="21"/>
              </w:rPr>
              <w:fldChar w:fldCharType="begin"/>
            </w:r>
            <w:r>
              <w:rPr>
                <w:sz w:val="20"/>
                <w:szCs w:val="21"/>
              </w:rPr>
              <w:instrText xml:space="preserve"> PAGEREF Part1：基本信息 \h </w:instrText>
            </w:r>
            <w:r>
              <w:rPr>
                <w:sz w:val="20"/>
                <w:szCs w:val="21"/>
              </w:rPr>
              <w:fldChar w:fldCharType="separate"/>
            </w:r>
            <w:r>
              <w:rPr>
                <w:sz w:val="20"/>
                <w:szCs w:val="21"/>
              </w:rPr>
              <w:t>2</w:t>
            </w:r>
            <w:r>
              <w:rPr>
                <w:sz w:val="20"/>
                <w:szCs w:val="21"/>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rPr>
                <w:rFonts w:hint="eastAsia"/>
              </w:rPr>
            </w:pPr>
            <w:r>
              <w:rPr>
                <w:rFonts w:hint="eastAsia"/>
              </w:rPr>
              <w:t>样本信息</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pPr>
            <w:r>
              <w:rPr>
                <w:sz w:val="20"/>
                <w:szCs w:val="21"/>
              </w:rPr>
              <w:fldChar w:fldCharType="begin"/>
            </w:r>
            <w:r>
              <w:rPr>
                <w:sz w:val="20"/>
                <w:szCs w:val="21"/>
              </w:rPr>
              <w:instrText xml:space="preserve"> PAGEREF 样本信息 \h </w:instrText>
            </w:r>
            <w:r>
              <w:rPr>
                <w:sz w:val="20"/>
                <w:szCs w:val="21"/>
              </w:rPr>
              <w:fldChar w:fldCharType="separate"/>
            </w:r>
            <w:r>
              <w:rPr>
                <w:sz w:val="20"/>
                <w:szCs w:val="21"/>
              </w:rPr>
              <w:t>2</w:t>
            </w:r>
            <w:r>
              <w:rPr>
                <w:sz w:val="20"/>
                <w:szCs w:val="21"/>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rPr>
                <w:rFonts w:hint="eastAsia"/>
              </w:rPr>
            </w:pPr>
            <w:r>
              <w:rPr>
                <w:rFonts w:hint="eastAsia"/>
              </w:rPr>
              <w:t>检测项目内容</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pPr>
            <w:r>
              <w:rPr>
                <w:sz w:val="20"/>
                <w:szCs w:val="21"/>
              </w:rPr>
              <w:fldChar w:fldCharType="begin"/>
            </w:r>
            <w:r>
              <w:rPr>
                <w:sz w:val="20"/>
                <w:szCs w:val="21"/>
              </w:rPr>
              <w:instrText xml:space="preserve"> PAGEREF 检测项目内容 \h </w:instrText>
            </w:r>
            <w:r>
              <w:rPr>
                <w:sz w:val="20"/>
                <w:szCs w:val="21"/>
              </w:rPr>
              <w:fldChar w:fldCharType="separate"/>
            </w:r>
            <w:r>
              <w:rPr>
                <w:sz w:val="20"/>
                <w:szCs w:val="21"/>
              </w:rPr>
              <w:t>2</w:t>
            </w:r>
            <w:r>
              <w:rPr>
                <w:sz w:val="20"/>
                <w:szCs w:val="21"/>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trPr>
        <w:tc>
          <w:tcPr>
            <w:tcW w:w="2377"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t>Part2</w:t>
            </w:r>
          </w:p>
        </w:tc>
        <w:tc>
          <w:tcPr>
            <w:tcW w:w="6630"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t>检测结果汇总</w:t>
            </w:r>
          </w:p>
        </w:tc>
        <w:tc>
          <w:tcPr>
            <w:tcW w:w="586"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fldChar w:fldCharType="begin"/>
            </w:r>
            <w:r>
              <w:rPr>
                <w:rFonts w:hint="eastAsia" w:ascii="微软雅黑" w:eastAsia="微软雅黑" w:cs="微软雅黑"/>
                <w:b/>
                <w:bCs/>
                <w:color w:val="00B0F0"/>
                <w:sz w:val="28"/>
                <w:szCs w:val="28"/>
              </w:rPr>
              <w:instrText xml:space="preserve"> PAGEREF Part2：结果汇总 \h </w:instrText>
            </w:r>
            <w:r>
              <w:rPr>
                <w:rFonts w:hint="eastAsia" w:ascii="微软雅黑" w:eastAsia="微软雅黑" w:cs="微软雅黑"/>
                <w:b/>
                <w:bCs/>
                <w:color w:val="00B0F0"/>
                <w:sz w:val="28"/>
                <w:szCs w:val="28"/>
              </w:rPr>
              <w:fldChar w:fldCharType="separate"/>
            </w:r>
            <w:r>
              <w:rPr>
                <w:rFonts w:hint="eastAsia" w:ascii="微软雅黑" w:eastAsia="微软雅黑" w:cs="微软雅黑"/>
                <w:b/>
                <w:bCs/>
                <w:color w:val="00B0F0"/>
                <w:sz w:val="28"/>
                <w:szCs w:val="28"/>
              </w:rPr>
              <w:t>3</w:t>
            </w:r>
            <w:r>
              <w:rPr>
                <w:rFonts w:hint="eastAsia" w:ascii="微软雅黑" w:eastAsia="微软雅黑" w:cs="微软雅黑"/>
                <w:b/>
                <w:bCs/>
                <w:color w:val="00B0F0"/>
                <w:sz w:val="28"/>
                <w:szCs w:val="28"/>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pPr>
              <w:keepNext w:val="0"/>
              <w:keepLines w:val="0"/>
              <w:pageBreakBefore w:val="0"/>
              <w:widowControl w:val="0"/>
              <w:kinsoku/>
              <w:wordWrap/>
              <w:overflowPunct/>
              <w:topLinePunct w:val="0"/>
              <w:autoSpaceDE/>
              <w:autoSpaceDN/>
              <w:bidi w:val="0"/>
              <w:adjustRightInd/>
              <w:snapToGrid/>
              <w:spacing w:line="240" w:lineRule="exact"/>
              <w:textAlignment w:val="auto"/>
            </w:p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before="32" w:beforeLines="10" w:after="32" w:afterLines="10" w:line="240" w:lineRule="exact"/>
              <w:ind w:left="420" w:hanging="420"/>
              <w:textAlignment w:val="auto"/>
            </w:pPr>
            <w:r>
              <w:rPr>
                <w:rFonts w:hint="eastAsia"/>
              </w:rPr>
              <w:t>检测结果汇总</w:t>
            </w:r>
          </w:p>
        </w:tc>
        <w:tc>
          <w:tcPr>
            <w:tcW w:w="586" w:type="dxa"/>
          </w:tcPr>
          <w:p>
            <w:pPr>
              <w:keepNext w:val="0"/>
              <w:keepLines w:val="0"/>
              <w:pageBreakBefore w:val="0"/>
              <w:widowControl w:val="0"/>
              <w:kinsoku/>
              <w:wordWrap/>
              <w:overflowPunct/>
              <w:topLinePunct w:val="0"/>
              <w:autoSpaceDE/>
              <w:autoSpaceDN/>
              <w:bidi w:val="0"/>
              <w:adjustRightInd/>
              <w:snapToGrid/>
              <w:spacing w:before="31" w:beforeLines="10" w:after="31" w:afterLines="10" w:line="240" w:lineRule="exact"/>
              <w:jc w:val="right"/>
              <w:textAlignment w:val="auto"/>
              <w:rPr>
                <w:sz w:val="20"/>
                <w:szCs w:val="20"/>
              </w:rPr>
            </w:pPr>
            <w:r>
              <w:rPr>
                <w:sz w:val="20"/>
                <w:szCs w:val="20"/>
              </w:rPr>
              <w:fldChar w:fldCharType="begin"/>
            </w:r>
            <w:r>
              <w:rPr>
                <w:sz w:val="20"/>
                <w:szCs w:val="20"/>
              </w:rPr>
              <w:instrText xml:space="preserve"> PAGEREF Part2：结果汇总 \h </w:instrText>
            </w:r>
            <w:r>
              <w:rPr>
                <w:sz w:val="20"/>
                <w:szCs w:val="20"/>
              </w:rPr>
              <w:fldChar w:fldCharType="separate"/>
            </w:r>
            <w:r>
              <w:rPr>
                <w:sz w:val="20"/>
                <w:szCs w:val="20"/>
              </w:rPr>
              <w:t>3</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pPr>
            <w:r>
              <w:rPr>
                <w:rFonts w:hint="eastAsia"/>
                <w:sz w:val="20"/>
                <w:szCs w:val="20"/>
                <w:lang w:val="en-US" w:eastAsia="zh-CN"/>
              </w:rPr>
              <w:t>靶向用药基因</w:t>
            </w:r>
            <w:r>
              <w:rPr>
                <w:rFonts w:hint="eastAsia"/>
                <w:sz w:val="20"/>
                <w:szCs w:val="20"/>
              </w:rPr>
              <w:t>检测结果</w:t>
            </w:r>
          </w:p>
        </w:tc>
        <w:tc>
          <w:tcPr>
            <w:tcW w:w="586" w:type="dxa"/>
          </w:tcPr>
          <w:p>
            <w:pPr>
              <w:keepNext w:val="0"/>
              <w:keepLines w:val="0"/>
              <w:pageBreakBefore w:val="0"/>
              <w:widowControl w:val="0"/>
              <w:kinsoku/>
              <w:wordWrap/>
              <w:overflowPunct/>
              <w:topLinePunct w:val="0"/>
              <w:autoSpaceDE/>
              <w:autoSpaceDN/>
              <w:bidi w:val="0"/>
              <w:adjustRightInd/>
              <w:snapToGrid/>
              <w:jc w:val="right"/>
              <w:textAlignment w:val="auto"/>
              <w:rPr>
                <w:sz w:val="20"/>
                <w:szCs w:val="20"/>
              </w:rPr>
            </w:pPr>
            <w:r>
              <w:rPr>
                <w:sz w:val="20"/>
                <w:szCs w:val="20"/>
              </w:rPr>
              <w:fldChar w:fldCharType="begin"/>
            </w:r>
            <w:r>
              <w:rPr>
                <w:sz w:val="20"/>
                <w:szCs w:val="20"/>
              </w:rPr>
              <w:instrText xml:space="preserve"> PAGEREF 靶向用药检测小结 \h </w:instrText>
            </w:r>
            <w:r>
              <w:rPr>
                <w:sz w:val="20"/>
                <w:szCs w:val="20"/>
              </w:rPr>
              <w:fldChar w:fldCharType="separate"/>
            </w:r>
            <w:r>
              <w:rPr>
                <w:sz w:val="20"/>
                <w:szCs w:val="20"/>
              </w:rPr>
              <w:t>3</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sz w:val="20"/>
                <w:szCs w:val="20"/>
              </w:rPr>
            </w:pPr>
            <w:r>
              <w:rPr>
                <w:rFonts w:hint="eastAsia"/>
                <w:sz w:val="20"/>
                <w:szCs w:val="20"/>
              </w:rPr>
              <w:t>免疫治疗相关</w:t>
            </w:r>
            <w:r>
              <w:rPr>
                <w:rFonts w:hint="eastAsia"/>
                <w:sz w:val="20"/>
                <w:szCs w:val="20"/>
                <w:lang w:val="en-US" w:eastAsia="zh-CN"/>
              </w:rPr>
              <w:t>Biomarker</w:t>
            </w:r>
            <w:r>
              <w:rPr>
                <w:rFonts w:hint="eastAsia"/>
                <w:sz w:val="20"/>
                <w:szCs w:val="20"/>
              </w:rPr>
              <w:t>检测结果</w:t>
            </w:r>
          </w:p>
        </w:tc>
        <w:tc>
          <w:tcPr>
            <w:tcW w:w="586" w:type="dxa"/>
          </w:tcPr>
          <w:p>
            <w:pPr>
              <w:keepNext w:val="0"/>
              <w:keepLines w:val="0"/>
              <w:pageBreakBefore w:val="0"/>
              <w:widowControl w:val="0"/>
              <w:kinsoku/>
              <w:wordWrap/>
              <w:overflowPunct/>
              <w:topLinePunct w:val="0"/>
              <w:autoSpaceDE/>
              <w:autoSpaceDN/>
              <w:bidi w:val="0"/>
              <w:adjustRightInd/>
              <w:snapToGrid/>
              <w:jc w:val="right"/>
              <w:textAlignment w:val="auto"/>
              <w:rPr>
                <w:sz w:val="20"/>
                <w:szCs w:val="20"/>
              </w:rPr>
            </w:pPr>
            <w:r>
              <w:rPr>
                <w:sz w:val="20"/>
                <w:szCs w:val="20"/>
              </w:rPr>
              <w:fldChar w:fldCharType="begin"/>
            </w:r>
            <w:r>
              <w:rPr>
                <w:sz w:val="20"/>
                <w:szCs w:val="20"/>
              </w:rPr>
              <w:instrText xml:space="preserve"> PAGEREF 免疫治疗相关Biomarker小结 \h </w:instrText>
            </w:r>
            <w:r>
              <w:rPr>
                <w:sz w:val="20"/>
                <w:szCs w:val="20"/>
              </w:rPr>
              <w:fldChar w:fldCharType="separate"/>
            </w:r>
            <w:r>
              <w:rPr>
                <w:sz w:val="20"/>
                <w:szCs w:val="20"/>
              </w:rPr>
              <w:t>4</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sz w:val="20"/>
                <w:szCs w:val="20"/>
              </w:rPr>
            </w:pPr>
            <w:r>
              <w:rPr>
                <w:rFonts w:hint="eastAsia"/>
                <w:sz w:val="20"/>
                <w:szCs w:val="20"/>
              </w:rPr>
              <w:t>化疗用药多态性位点检测结果</w:t>
            </w:r>
          </w:p>
        </w:tc>
        <w:tc>
          <w:tcPr>
            <w:tcW w:w="586" w:type="dxa"/>
          </w:tcPr>
          <w:p>
            <w:pPr>
              <w:keepNext w:val="0"/>
              <w:keepLines w:val="0"/>
              <w:pageBreakBefore w:val="0"/>
              <w:widowControl w:val="0"/>
              <w:kinsoku/>
              <w:wordWrap/>
              <w:overflowPunct/>
              <w:topLinePunct w:val="0"/>
              <w:autoSpaceDE/>
              <w:autoSpaceDN/>
              <w:bidi w:val="0"/>
              <w:adjustRightInd/>
              <w:snapToGrid/>
              <w:jc w:val="right"/>
              <w:textAlignment w:val="auto"/>
              <w:rPr>
                <w:sz w:val="20"/>
                <w:szCs w:val="20"/>
              </w:rPr>
            </w:pPr>
            <w:r>
              <w:rPr>
                <w:sz w:val="20"/>
                <w:szCs w:val="20"/>
              </w:rPr>
              <w:fldChar w:fldCharType="begin"/>
            </w:r>
            <w:r>
              <w:rPr>
                <w:sz w:val="20"/>
                <w:szCs w:val="20"/>
              </w:rPr>
              <w:instrText xml:space="preserve"> PAGEREF 化疗用药多态性位点小结 \h </w:instrText>
            </w:r>
            <w:r>
              <w:rPr>
                <w:sz w:val="20"/>
                <w:szCs w:val="20"/>
              </w:rPr>
              <w:fldChar w:fldCharType="separate"/>
            </w:r>
            <w:r>
              <w:rPr>
                <w:sz w:val="20"/>
                <w:szCs w:val="20"/>
              </w:rPr>
              <w:t>5</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rFonts w:hint="default" w:eastAsia="等线"/>
                <w:sz w:val="20"/>
                <w:szCs w:val="20"/>
                <w:lang w:val="en-US" w:eastAsia="zh-CN"/>
              </w:rPr>
            </w:pPr>
            <w:r>
              <w:rPr>
                <w:rFonts w:hint="eastAsia"/>
                <w:sz w:val="20"/>
                <w:szCs w:val="20"/>
                <w:lang w:val="en-US" w:eastAsia="zh-CN"/>
              </w:rPr>
              <w:t>常用联合化疗方案药物提示</w:t>
            </w:r>
          </w:p>
        </w:tc>
        <w:tc>
          <w:tcPr>
            <w:tcW w:w="586" w:type="dxa"/>
          </w:tcPr>
          <w:p>
            <w:pPr>
              <w:keepNext w:val="0"/>
              <w:keepLines w:val="0"/>
              <w:pageBreakBefore w:val="0"/>
              <w:widowControl w:val="0"/>
              <w:kinsoku/>
              <w:wordWrap/>
              <w:overflowPunct/>
              <w:topLinePunct w:val="0"/>
              <w:autoSpaceDE/>
              <w:autoSpaceDN/>
              <w:bidi w:val="0"/>
              <w:adjustRightInd/>
              <w:snapToGrid/>
              <w:jc w:val="right"/>
              <w:textAlignment w:val="auto"/>
              <w:rPr>
                <w:sz w:val="20"/>
                <w:szCs w:val="20"/>
              </w:rPr>
            </w:pPr>
            <w:r>
              <w:rPr>
                <w:sz w:val="20"/>
                <w:szCs w:val="20"/>
              </w:rPr>
              <w:fldChar w:fldCharType="begin"/>
            </w:r>
            <w:r>
              <w:rPr>
                <w:sz w:val="20"/>
                <w:szCs w:val="20"/>
              </w:rPr>
              <w:instrText xml:space="preserve"> PAGEREF 常用联合化疗方案药物提示 \h </w:instrText>
            </w:r>
            <w:r>
              <w:rPr>
                <w:sz w:val="20"/>
                <w:szCs w:val="20"/>
              </w:rPr>
              <w:fldChar w:fldCharType="separate"/>
            </w:r>
            <w:r>
              <w:rPr>
                <w:sz w:val="20"/>
                <w:szCs w:val="20"/>
              </w:rPr>
              <w:t>5</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rFonts w:hint="default"/>
                <w:sz w:val="20"/>
                <w:szCs w:val="20"/>
                <w:lang w:val="en-US" w:eastAsia="zh-CN"/>
              </w:rPr>
            </w:pPr>
            <w:r>
              <w:rPr>
                <w:rFonts w:hint="eastAsia"/>
                <w:sz w:val="20"/>
                <w:szCs w:val="20"/>
                <w:lang w:val="en-US" w:eastAsia="zh-CN"/>
              </w:rPr>
              <w:t>遗传性结直肠癌基因检测结果</w:t>
            </w:r>
          </w:p>
        </w:tc>
        <w:tc>
          <w:tcPr>
            <w:tcW w:w="586" w:type="dxa"/>
          </w:tcPr>
          <w:p>
            <w:pPr>
              <w:keepNext w:val="0"/>
              <w:keepLines w:val="0"/>
              <w:pageBreakBefore w:val="0"/>
              <w:widowControl w:val="0"/>
              <w:kinsoku/>
              <w:wordWrap/>
              <w:overflowPunct/>
              <w:topLinePunct w:val="0"/>
              <w:autoSpaceDE/>
              <w:autoSpaceDN/>
              <w:bidi w:val="0"/>
              <w:adjustRightInd/>
              <w:snapToGrid/>
              <w:jc w:val="right"/>
              <w:textAlignment w:val="auto"/>
              <w:rPr>
                <w:sz w:val="20"/>
                <w:szCs w:val="20"/>
              </w:rPr>
            </w:pPr>
            <w:r>
              <w:rPr>
                <w:sz w:val="20"/>
                <w:szCs w:val="20"/>
              </w:rPr>
              <w:fldChar w:fldCharType="begin"/>
            </w:r>
            <w:r>
              <w:rPr>
                <w:sz w:val="20"/>
                <w:szCs w:val="20"/>
              </w:rPr>
              <w:instrText xml:space="preserve"> PAGEREF 遗传性结直肠癌小结 \h </w:instrText>
            </w:r>
            <w:r>
              <w:rPr>
                <w:sz w:val="20"/>
                <w:szCs w:val="20"/>
              </w:rPr>
              <w:fldChar w:fldCharType="separate"/>
            </w:r>
            <w:r>
              <w:rPr>
                <w:sz w:val="20"/>
                <w:szCs w:val="20"/>
              </w:rPr>
              <w:t>5</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pPr>
              <w:keepNext w:val="0"/>
              <w:keepLines w:val="0"/>
              <w:pageBreakBefore w:val="0"/>
              <w:widowControl w:val="0"/>
              <w:kinsoku/>
              <w:wordWrap/>
              <w:overflowPunct/>
              <w:topLinePunct w:val="0"/>
              <w:autoSpaceDE/>
              <w:autoSpaceDN/>
              <w:bidi w:val="0"/>
              <w:adjustRightInd/>
              <w:snapToGrid/>
              <w:spacing w:line="240" w:lineRule="exact"/>
              <w:textAlignment w:val="auto"/>
            </w:p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before="32" w:beforeLines="10" w:after="32" w:afterLines="10" w:line="240" w:lineRule="exact"/>
              <w:ind w:left="420" w:hanging="420"/>
              <w:textAlignment w:val="auto"/>
            </w:pPr>
            <w:r>
              <w:rPr>
                <w:rFonts w:hint="eastAsia"/>
              </w:rPr>
              <w:t>FDA</w:t>
            </w:r>
            <w:r>
              <w:t>/NMPA</w:t>
            </w:r>
            <w:r>
              <w:rPr>
                <w:rFonts w:hint="eastAsia"/>
              </w:rPr>
              <w:t>获批或NCCN指南推荐的</w:t>
            </w:r>
            <w:r>
              <w:rPr>
                <w:rFonts w:hint="eastAsia"/>
                <w:lang w:val="en-US" w:eastAsia="zh-CN"/>
              </w:rPr>
              <w:t>结直肠癌</w:t>
            </w:r>
            <w:r>
              <w:rPr>
                <w:rFonts w:hint="eastAsia"/>
              </w:rPr>
              <w:t>靶药基因检出情况</w:t>
            </w:r>
          </w:p>
        </w:tc>
        <w:tc>
          <w:tcPr>
            <w:tcW w:w="586" w:type="dxa"/>
          </w:tcPr>
          <w:p>
            <w:pPr>
              <w:keepNext w:val="0"/>
              <w:keepLines w:val="0"/>
              <w:pageBreakBefore w:val="0"/>
              <w:widowControl w:val="0"/>
              <w:kinsoku/>
              <w:wordWrap/>
              <w:overflowPunct/>
              <w:topLinePunct w:val="0"/>
              <w:autoSpaceDE/>
              <w:autoSpaceDN/>
              <w:bidi w:val="0"/>
              <w:adjustRightInd/>
              <w:snapToGrid/>
              <w:spacing w:before="31" w:beforeLines="10" w:after="31" w:afterLines="10" w:line="240" w:lineRule="exact"/>
              <w:jc w:val="right"/>
              <w:textAlignment w:val="auto"/>
              <w:rPr>
                <w:sz w:val="20"/>
                <w:szCs w:val="20"/>
              </w:rPr>
            </w:pPr>
            <w:r>
              <w:rPr>
                <w:sz w:val="20"/>
                <w:szCs w:val="20"/>
              </w:rPr>
              <w:fldChar w:fldCharType="begin"/>
            </w:r>
            <w:r>
              <w:rPr>
                <w:sz w:val="20"/>
                <w:szCs w:val="20"/>
              </w:rPr>
              <w:instrText xml:space="preserve"> PAGEREF 本癌种FDA获批 \h </w:instrText>
            </w:r>
            <w:r>
              <w:rPr>
                <w:sz w:val="20"/>
                <w:szCs w:val="20"/>
              </w:rPr>
              <w:fldChar w:fldCharType="separate"/>
            </w:r>
            <w:r>
              <w:rPr>
                <w:sz w:val="20"/>
                <w:szCs w:val="20"/>
              </w:rPr>
              <w:t>6</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trPr>
        <w:tc>
          <w:tcPr>
            <w:tcW w:w="2377"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t>Part3</w:t>
            </w:r>
          </w:p>
        </w:tc>
        <w:tc>
          <w:tcPr>
            <w:tcW w:w="6630"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t>检测结果详细解读</w:t>
            </w:r>
          </w:p>
        </w:tc>
        <w:tc>
          <w:tcPr>
            <w:tcW w:w="586"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fldChar w:fldCharType="begin"/>
            </w:r>
            <w:r>
              <w:rPr>
                <w:rFonts w:hint="eastAsia" w:ascii="微软雅黑" w:eastAsia="微软雅黑" w:cs="微软雅黑"/>
                <w:b/>
                <w:bCs/>
                <w:color w:val="00B0F0"/>
                <w:sz w:val="28"/>
                <w:szCs w:val="28"/>
              </w:rPr>
              <w:instrText xml:space="preserve"> PAGEREF Part3：详细解读 \h </w:instrText>
            </w:r>
            <w:r>
              <w:rPr>
                <w:rFonts w:hint="eastAsia" w:ascii="微软雅黑" w:eastAsia="微软雅黑" w:cs="微软雅黑"/>
                <w:b/>
                <w:bCs/>
                <w:color w:val="00B0F0"/>
                <w:sz w:val="28"/>
                <w:szCs w:val="28"/>
              </w:rPr>
              <w:fldChar w:fldCharType="separate"/>
            </w:r>
            <w:r>
              <w:rPr>
                <w:rFonts w:hint="eastAsia" w:ascii="微软雅黑" w:eastAsia="微软雅黑" w:cs="微软雅黑"/>
                <w:b/>
                <w:bCs/>
                <w:color w:val="00B0F0"/>
                <w:sz w:val="28"/>
                <w:szCs w:val="28"/>
              </w:rPr>
              <w:t>7</w:t>
            </w:r>
            <w:r>
              <w:rPr>
                <w:rFonts w:hint="eastAsia" w:ascii="微软雅黑" w:eastAsia="微软雅黑" w:cs="微软雅黑"/>
                <w:b/>
                <w:bCs/>
                <w:color w:val="00B0F0"/>
                <w:sz w:val="28"/>
                <w:szCs w:val="28"/>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pPr>
            <w:r>
              <w:rPr>
                <w:rFonts w:hint="eastAsia"/>
                <w:lang w:val="en-US" w:eastAsia="zh-CN"/>
              </w:rPr>
              <w:t>靶向用药基因检测结果</w:t>
            </w:r>
            <w:r>
              <w:rPr>
                <w:rFonts w:hint="eastAsia"/>
              </w:rPr>
              <w:t>及临床意义</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靶向药物相关突变基因及临床意义 \h </w:instrText>
            </w:r>
            <w:r>
              <w:rPr>
                <w:sz w:val="20"/>
                <w:szCs w:val="20"/>
              </w:rPr>
              <w:fldChar w:fldCharType="separate"/>
            </w:r>
            <w:r>
              <w:rPr>
                <w:sz w:val="20"/>
                <w:szCs w:val="20"/>
              </w:rPr>
              <w:t>7</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rFonts w:hint="eastAsia"/>
                <w:sz w:val="20"/>
                <w:szCs w:val="20"/>
                <w:lang w:val="en-US" w:eastAsia="zh-CN"/>
              </w:rPr>
            </w:pPr>
            <w:r>
              <w:rPr>
                <w:rFonts w:hint="eastAsia"/>
                <w:sz w:val="20"/>
                <w:szCs w:val="20"/>
                <w:lang w:val="en-US" w:eastAsia="zh-CN"/>
              </w:rPr>
              <w:t>具有明确临床意义的基因变异【Ⅰ类】</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具有明确临床意义的基因变异【I类】 \h </w:instrText>
            </w:r>
            <w:r>
              <w:rPr>
                <w:sz w:val="20"/>
                <w:szCs w:val="20"/>
              </w:rPr>
              <w:fldChar w:fldCharType="separate"/>
            </w:r>
            <w:r>
              <w:rPr>
                <w:sz w:val="20"/>
                <w:szCs w:val="20"/>
              </w:rPr>
              <w:t>7</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rFonts w:hint="eastAsia"/>
                <w:sz w:val="20"/>
                <w:szCs w:val="20"/>
                <w:lang w:val="en-US" w:eastAsia="zh-CN"/>
              </w:rPr>
            </w:pPr>
            <w:r>
              <w:rPr>
                <w:rFonts w:hint="eastAsia"/>
                <w:sz w:val="20"/>
                <w:szCs w:val="20"/>
                <w:lang w:val="en-US" w:eastAsia="zh-CN"/>
              </w:rPr>
              <w:t>具有潜在临床意义的基因变异【Ⅱ类】</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具有潜在临床意义的基因变异【II类】 \h </w:instrText>
            </w:r>
            <w:r>
              <w:rPr>
                <w:sz w:val="20"/>
                <w:szCs w:val="20"/>
              </w:rPr>
              <w:fldChar w:fldCharType="separate"/>
            </w:r>
            <w:r>
              <w:rPr>
                <w:sz w:val="20"/>
                <w:szCs w:val="20"/>
              </w:rPr>
              <w:t>7</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rFonts w:hint="eastAsia"/>
                <w:sz w:val="20"/>
                <w:szCs w:val="20"/>
                <w:lang w:val="en-US" w:eastAsia="zh-CN"/>
              </w:rPr>
            </w:pPr>
            <w:r>
              <w:rPr>
                <w:rFonts w:hint="eastAsia"/>
                <w:sz w:val="20"/>
                <w:szCs w:val="20"/>
                <w:lang w:val="en-US" w:eastAsia="zh-CN"/>
              </w:rPr>
              <w:t>临床意义未明的基因变异【Ⅲ类】</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临床意义未明的基因变异 \h </w:instrText>
            </w:r>
            <w:r>
              <w:rPr>
                <w:sz w:val="20"/>
                <w:szCs w:val="20"/>
              </w:rPr>
              <w:fldChar w:fldCharType="separate"/>
            </w:r>
            <w:r>
              <w:rPr>
                <w:sz w:val="20"/>
                <w:szCs w:val="20"/>
              </w:rPr>
              <w:t>7</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rFonts w:hint="eastAsia"/>
                <w:sz w:val="20"/>
                <w:szCs w:val="20"/>
                <w:lang w:val="en-US" w:eastAsia="zh-CN"/>
              </w:rPr>
            </w:pPr>
            <w:r>
              <w:rPr>
                <w:rFonts w:hint="eastAsia"/>
                <w:sz w:val="20"/>
                <w:szCs w:val="20"/>
                <w:lang w:val="en-US" w:eastAsia="zh-CN"/>
              </w:rPr>
              <w:t>基因变异解析</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基因变异解析 \h </w:instrText>
            </w:r>
            <w:r>
              <w:rPr>
                <w:sz w:val="20"/>
                <w:szCs w:val="20"/>
              </w:rPr>
              <w:fldChar w:fldCharType="separate"/>
            </w:r>
            <w:r>
              <w:rPr>
                <w:sz w:val="20"/>
                <w:szCs w:val="20"/>
              </w:rPr>
              <w:t>9</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rFonts w:hint="eastAsia"/>
                <w:sz w:val="20"/>
                <w:szCs w:val="20"/>
                <w:lang w:val="en-US" w:eastAsia="zh-CN"/>
              </w:rPr>
            </w:pPr>
            <w:r>
              <w:rPr>
                <w:rFonts w:hint="eastAsia"/>
                <w:sz w:val="20"/>
                <w:szCs w:val="20"/>
                <w:lang w:val="en-US" w:eastAsia="zh-CN"/>
              </w:rPr>
              <w:t>靶向药物解析</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靶向药物解析 \h </w:instrText>
            </w:r>
            <w:r>
              <w:rPr>
                <w:sz w:val="20"/>
                <w:szCs w:val="20"/>
              </w:rPr>
              <w:fldChar w:fldCharType="separate"/>
            </w:r>
            <w:r>
              <w:rPr>
                <w:sz w:val="20"/>
                <w:szCs w:val="20"/>
              </w:rPr>
              <w:t>10</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pPr>
            <w:r>
              <w:rPr>
                <w:rFonts w:hint="eastAsia"/>
              </w:rPr>
              <w:t>免疫治疗相关Biomarker检测结果及临床意义</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免疫治疗相关biomarker \h </w:instrText>
            </w:r>
            <w:r>
              <w:rPr>
                <w:sz w:val="20"/>
                <w:szCs w:val="20"/>
              </w:rPr>
              <w:fldChar w:fldCharType="separate"/>
            </w:r>
            <w:r>
              <w:rPr>
                <w:sz w:val="20"/>
                <w:szCs w:val="20"/>
              </w:rPr>
              <w:t>11</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rFonts w:hint="eastAsia"/>
                <w:sz w:val="20"/>
                <w:szCs w:val="20"/>
                <w:lang w:val="en-US" w:eastAsia="zh-CN"/>
              </w:rPr>
            </w:pPr>
            <w:r>
              <w:rPr>
                <w:rFonts w:hint="eastAsia"/>
                <w:sz w:val="20"/>
                <w:szCs w:val="20"/>
                <w:lang w:val="en-US" w:eastAsia="zh-CN"/>
              </w:rPr>
              <w:t>微卫星不稳定性（MSI）解析</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MSI结果注释 \h </w:instrText>
            </w:r>
            <w:r>
              <w:rPr>
                <w:sz w:val="20"/>
                <w:szCs w:val="20"/>
              </w:rPr>
              <w:fldChar w:fldCharType="separate"/>
            </w:r>
            <w:r>
              <w:rPr>
                <w:sz w:val="20"/>
                <w:szCs w:val="20"/>
              </w:rPr>
              <w:t>11</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rFonts w:hint="eastAsia"/>
                <w:sz w:val="20"/>
                <w:szCs w:val="20"/>
                <w:lang w:val="en-US" w:eastAsia="zh-CN"/>
              </w:rPr>
            </w:pPr>
            <w:r>
              <w:rPr>
                <w:rFonts w:hint="eastAsia"/>
                <w:sz w:val="20"/>
                <w:szCs w:val="20"/>
                <w:lang w:val="en-US" w:eastAsia="zh-CN"/>
              </w:rPr>
              <w:t>错配修复系统（MMR）检测结果</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MMR检测结果 \h </w:instrText>
            </w:r>
            <w:r>
              <w:rPr>
                <w:sz w:val="20"/>
                <w:szCs w:val="20"/>
              </w:rPr>
              <w:fldChar w:fldCharType="separate"/>
            </w:r>
            <w:r>
              <w:rPr>
                <w:sz w:val="20"/>
                <w:szCs w:val="20"/>
              </w:rPr>
              <w:t>12</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pPr>
            <w:r>
              <w:rPr>
                <w:rFonts w:hint="eastAsia"/>
              </w:rPr>
              <w:t>化疗用药</w:t>
            </w:r>
            <w:r>
              <w:rPr>
                <w:rFonts w:hint="eastAsia"/>
                <w:b w:val="0"/>
                <w:bCs w:val="0"/>
                <w:lang w:val="en-US" w:eastAsia="zh-CN"/>
              </w:rPr>
              <w:t>多态性位点检测结果</w:t>
            </w:r>
            <w:r>
              <w:rPr>
                <w:rFonts w:hint="eastAsia"/>
              </w:rPr>
              <w:t>及临床意义</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化疗用药基因变异解析 \h </w:instrText>
            </w:r>
            <w:r>
              <w:rPr>
                <w:sz w:val="20"/>
                <w:szCs w:val="20"/>
              </w:rPr>
              <w:fldChar w:fldCharType="separate"/>
            </w:r>
            <w:r>
              <w:rPr>
                <w:sz w:val="20"/>
                <w:szCs w:val="20"/>
              </w:rPr>
              <w:t>15</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rFonts w:hint="eastAsia"/>
                <w:sz w:val="20"/>
                <w:szCs w:val="20"/>
                <w:lang w:val="en-US" w:eastAsia="zh-CN"/>
              </w:rPr>
            </w:pPr>
            <w:r>
              <w:rPr>
                <w:rFonts w:hint="eastAsia"/>
                <w:sz w:val="20"/>
                <w:szCs w:val="20"/>
                <w:lang w:val="en-US" w:eastAsia="zh-CN"/>
              </w:rPr>
              <w:t>化疗用药提示</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化疗用药提示 \h </w:instrText>
            </w:r>
            <w:r>
              <w:rPr>
                <w:sz w:val="20"/>
                <w:szCs w:val="20"/>
              </w:rPr>
              <w:fldChar w:fldCharType="separate"/>
            </w:r>
            <w:r>
              <w:rPr>
                <w:sz w:val="20"/>
                <w:szCs w:val="20"/>
              </w:rPr>
              <w:t>15</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rFonts w:hint="eastAsia"/>
                <w:sz w:val="20"/>
                <w:szCs w:val="20"/>
                <w:lang w:val="en-US" w:eastAsia="zh-CN"/>
              </w:rPr>
            </w:pPr>
            <w:r>
              <w:rPr>
                <w:rFonts w:hint="eastAsia"/>
                <w:sz w:val="20"/>
                <w:szCs w:val="20"/>
                <w:lang w:val="en-US" w:eastAsia="zh-CN"/>
              </w:rPr>
              <w:t>化疗用药具体评估</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化疗用药具体评估 \h </w:instrText>
            </w:r>
            <w:r>
              <w:rPr>
                <w:sz w:val="20"/>
                <w:szCs w:val="20"/>
              </w:rPr>
              <w:fldChar w:fldCharType="separate"/>
            </w:r>
            <w:r>
              <w:rPr>
                <w:sz w:val="20"/>
                <w:szCs w:val="20"/>
              </w:rPr>
              <w:t>16</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pPr>
            <w:r>
              <w:rPr>
                <w:rFonts w:hint="eastAsia"/>
                <w:lang w:val="en-US" w:eastAsia="zh-CN"/>
              </w:rPr>
              <w:t>遗传性结直肠癌基因检测结果</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遗传性结直肠癌基因检测结果 \h </w:instrText>
            </w:r>
            <w:r>
              <w:rPr>
                <w:sz w:val="20"/>
                <w:szCs w:val="20"/>
              </w:rPr>
              <w:fldChar w:fldCharType="separate"/>
            </w:r>
            <w:r>
              <w:rPr>
                <w:sz w:val="20"/>
                <w:szCs w:val="20"/>
              </w:rPr>
              <w:t>17</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trPr>
        <w:tc>
          <w:tcPr>
            <w:tcW w:w="2377"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t>Part4</w:t>
            </w:r>
          </w:p>
        </w:tc>
        <w:tc>
          <w:tcPr>
            <w:tcW w:w="6630"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t>其他消息及说明</w:t>
            </w:r>
          </w:p>
        </w:tc>
        <w:tc>
          <w:tcPr>
            <w:tcW w:w="586"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fldChar w:fldCharType="begin"/>
            </w:r>
            <w:r>
              <w:rPr>
                <w:rFonts w:hint="eastAsia" w:ascii="微软雅黑" w:eastAsia="微软雅黑" w:cs="微软雅黑"/>
                <w:b/>
                <w:bCs/>
                <w:color w:val="00B0F0"/>
                <w:sz w:val="28"/>
                <w:szCs w:val="28"/>
              </w:rPr>
              <w:instrText xml:space="preserve"> PAGEREF Part4：其他信息 \h </w:instrText>
            </w:r>
            <w:r>
              <w:rPr>
                <w:rFonts w:hint="eastAsia" w:ascii="微软雅黑" w:eastAsia="微软雅黑" w:cs="微软雅黑"/>
                <w:b/>
                <w:bCs/>
                <w:color w:val="00B0F0"/>
                <w:sz w:val="28"/>
                <w:szCs w:val="28"/>
              </w:rPr>
              <w:fldChar w:fldCharType="separate"/>
            </w:r>
            <w:r>
              <w:rPr>
                <w:rFonts w:hint="eastAsia" w:ascii="微软雅黑" w:eastAsia="微软雅黑" w:cs="微软雅黑"/>
                <w:b/>
                <w:bCs/>
                <w:color w:val="00B0F0"/>
                <w:sz w:val="28"/>
                <w:szCs w:val="28"/>
              </w:rPr>
              <w:t>18</w:t>
            </w:r>
            <w:r>
              <w:rPr>
                <w:rFonts w:hint="eastAsia" w:ascii="微软雅黑" w:eastAsia="微软雅黑" w:cs="微软雅黑"/>
                <w:b/>
                <w:bCs/>
                <w:color w:val="00B0F0"/>
                <w:sz w:val="28"/>
                <w:szCs w:val="28"/>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rPr>
                <w:rFonts w:hint="eastAsia"/>
              </w:rPr>
            </w:pPr>
            <w:r>
              <w:rPr>
                <w:rFonts w:hint="eastAsia"/>
              </w:rPr>
              <w:t>样本质控结果</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pPr>
            <w:r>
              <w:fldChar w:fldCharType="begin"/>
            </w:r>
            <w:r>
              <w:instrText xml:space="preserve"> PAGEREF 样本质控结果 \h </w:instrText>
            </w:r>
            <w:r>
              <w:fldChar w:fldCharType="separate"/>
            </w:r>
            <w:r>
              <w:t>18</w:t>
            </w:r>
            <w: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rPr>
                <w:rFonts w:hint="eastAsia"/>
              </w:rPr>
            </w:pPr>
            <w:r>
              <w:rPr>
                <w:rFonts w:hint="eastAsia"/>
              </w:rPr>
              <w:t>检测方法</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pPr>
            <w:r>
              <w:fldChar w:fldCharType="begin"/>
            </w:r>
            <w:r>
              <w:instrText xml:space="preserve"> PAGEREF 检测方法 \h </w:instrText>
            </w:r>
            <w:r>
              <w:fldChar w:fldCharType="separate"/>
            </w:r>
            <w:r>
              <w:t>19</w:t>
            </w:r>
            <w: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rPr>
                <w:rFonts w:hint="eastAsia"/>
              </w:rPr>
            </w:pPr>
            <w:r>
              <w:rPr>
                <w:rFonts w:hint="eastAsia"/>
              </w:rPr>
              <w:t>检测声明</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pPr>
            <w:r>
              <w:fldChar w:fldCharType="begin"/>
            </w:r>
            <w:r>
              <w:instrText xml:space="preserve"> PAGEREF 检测声明 \h </w:instrText>
            </w:r>
            <w:r>
              <w:fldChar w:fldCharType="separate"/>
            </w:r>
            <w:r>
              <w:t>20</w:t>
            </w:r>
            <w: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trPr>
        <w:tc>
          <w:tcPr>
            <w:tcW w:w="2377"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t>Part5</w:t>
            </w:r>
          </w:p>
        </w:tc>
        <w:tc>
          <w:tcPr>
            <w:tcW w:w="6630"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t>附录</w:t>
            </w:r>
          </w:p>
        </w:tc>
        <w:tc>
          <w:tcPr>
            <w:tcW w:w="586"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fldChar w:fldCharType="begin"/>
            </w:r>
            <w:r>
              <w:rPr>
                <w:rFonts w:hint="eastAsia" w:ascii="微软雅黑" w:eastAsia="微软雅黑" w:cs="微软雅黑"/>
                <w:b/>
                <w:bCs/>
                <w:color w:val="00B0F0"/>
                <w:sz w:val="28"/>
                <w:szCs w:val="28"/>
              </w:rPr>
              <w:instrText xml:space="preserve"> PAGEREF Part5：附录 \h </w:instrText>
            </w:r>
            <w:r>
              <w:rPr>
                <w:rFonts w:hint="eastAsia" w:ascii="微软雅黑" w:eastAsia="微软雅黑" w:cs="微软雅黑"/>
                <w:b/>
                <w:bCs/>
                <w:color w:val="00B0F0"/>
                <w:sz w:val="28"/>
                <w:szCs w:val="28"/>
              </w:rPr>
              <w:fldChar w:fldCharType="separate"/>
            </w:r>
            <w:r>
              <w:rPr>
                <w:rFonts w:hint="eastAsia" w:ascii="微软雅黑" w:eastAsia="微软雅黑" w:cs="微软雅黑"/>
                <w:b/>
                <w:bCs/>
                <w:color w:val="00B0F0"/>
                <w:sz w:val="28"/>
                <w:szCs w:val="28"/>
              </w:rPr>
              <w:t>21</w:t>
            </w:r>
            <w:r>
              <w:rPr>
                <w:rFonts w:hint="eastAsia" w:ascii="微软雅黑" w:eastAsia="微软雅黑" w:cs="微软雅黑"/>
                <w:b/>
                <w:bCs/>
                <w:color w:val="00B0F0"/>
                <w:sz w:val="28"/>
                <w:szCs w:val="28"/>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pPr>
            <w:r>
              <w:rPr>
                <w:rFonts w:hint="eastAsia"/>
              </w:rPr>
              <w:t>基因</w:t>
            </w:r>
            <w:r>
              <w:rPr>
                <w:rFonts w:hint="eastAsia"/>
                <w:lang w:val="en-US" w:eastAsia="zh-CN"/>
              </w:rPr>
              <w:t>检测</w:t>
            </w:r>
            <w:r>
              <w:rPr>
                <w:rFonts w:hint="eastAsia"/>
              </w:rPr>
              <w:t>列表</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pPr>
            <w:r>
              <w:rPr>
                <w:sz w:val="20"/>
                <w:szCs w:val="21"/>
              </w:rPr>
              <w:fldChar w:fldCharType="begin"/>
            </w:r>
            <w:r>
              <w:rPr>
                <w:sz w:val="20"/>
                <w:szCs w:val="21"/>
              </w:rPr>
              <w:instrText xml:space="preserve"> PAGEREF 基因列表 \h </w:instrText>
            </w:r>
            <w:r>
              <w:rPr>
                <w:sz w:val="20"/>
                <w:szCs w:val="21"/>
              </w:rPr>
              <w:fldChar w:fldCharType="separate"/>
            </w:r>
            <w:r>
              <w:rPr>
                <w:sz w:val="20"/>
                <w:szCs w:val="21"/>
              </w:rPr>
              <w:t>21</w:t>
            </w:r>
            <w:r>
              <w:rPr>
                <w:sz w:val="20"/>
                <w:szCs w:val="21"/>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rPr>
                <w:rFonts w:hint="eastAsia"/>
              </w:rPr>
            </w:pPr>
            <w:r>
              <w:rPr>
                <w:rFonts w:hint="eastAsia"/>
              </w:rPr>
              <w:t>重要基因简介</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1"/>
              </w:rPr>
            </w:pPr>
            <w:r>
              <w:rPr>
                <w:sz w:val="20"/>
                <w:szCs w:val="21"/>
              </w:rPr>
              <w:fldChar w:fldCharType="begin"/>
            </w:r>
            <w:r>
              <w:rPr>
                <w:sz w:val="20"/>
                <w:szCs w:val="21"/>
              </w:rPr>
              <w:instrText xml:space="preserve"> PAGEREF 基因简介 \h </w:instrText>
            </w:r>
            <w:r>
              <w:rPr>
                <w:sz w:val="20"/>
                <w:szCs w:val="21"/>
              </w:rPr>
              <w:fldChar w:fldCharType="separate"/>
            </w:r>
            <w:r>
              <w:rPr>
                <w:sz w:val="20"/>
                <w:szCs w:val="21"/>
              </w:rPr>
              <w:t>21</w:t>
            </w:r>
            <w:r>
              <w:rPr>
                <w:sz w:val="20"/>
                <w:szCs w:val="21"/>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rPr>
                <w:rFonts w:hint="eastAsia"/>
              </w:rPr>
            </w:pPr>
            <w:r>
              <w:rPr>
                <w:rFonts w:hint="eastAsia"/>
                <w:lang w:val="en-US" w:eastAsia="zh-CN"/>
              </w:rPr>
              <w:t>结直肠癌靶向药物介绍</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1"/>
              </w:rPr>
            </w:pPr>
            <w:r>
              <w:rPr>
                <w:sz w:val="20"/>
                <w:szCs w:val="21"/>
              </w:rPr>
              <w:fldChar w:fldCharType="begin"/>
            </w:r>
            <w:r>
              <w:rPr>
                <w:sz w:val="20"/>
                <w:szCs w:val="21"/>
              </w:rPr>
              <w:instrText xml:space="preserve"> PAGEREF 靶向药物介绍 \h </w:instrText>
            </w:r>
            <w:r>
              <w:rPr>
                <w:sz w:val="20"/>
                <w:szCs w:val="21"/>
              </w:rPr>
              <w:fldChar w:fldCharType="separate"/>
            </w:r>
            <w:r>
              <w:rPr>
                <w:sz w:val="20"/>
                <w:szCs w:val="21"/>
              </w:rPr>
              <w:t>28</w:t>
            </w:r>
            <w:r>
              <w:rPr>
                <w:sz w:val="20"/>
                <w:szCs w:val="21"/>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rPr>
                <w:rFonts w:hint="eastAsia"/>
              </w:rPr>
            </w:pPr>
            <w:r>
              <w:rPr>
                <w:rFonts w:hint="eastAsia"/>
                <w:lang w:val="en-US" w:eastAsia="zh-CN"/>
              </w:rPr>
              <w:t>结直肠癌多靶点药物和联合治疗用药方案介绍</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1"/>
              </w:rPr>
            </w:pPr>
            <w:r>
              <w:rPr>
                <w:sz w:val="20"/>
                <w:szCs w:val="21"/>
              </w:rPr>
              <w:fldChar w:fldCharType="begin"/>
            </w:r>
            <w:r>
              <w:rPr>
                <w:sz w:val="20"/>
                <w:szCs w:val="21"/>
              </w:rPr>
              <w:instrText xml:space="preserve"> PAGEREF 遗传性肿瘤综合征介绍 \h </w:instrText>
            </w:r>
            <w:r>
              <w:rPr>
                <w:sz w:val="20"/>
                <w:szCs w:val="21"/>
              </w:rPr>
              <w:fldChar w:fldCharType="separate"/>
            </w:r>
            <w:r>
              <w:rPr>
                <w:sz w:val="20"/>
                <w:szCs w:val="21"/>
              </w:rPr>
              <w:t>37</w:t>
            </w:r>
            <w:r>
              <w:rPr>
                <w:sz w:val="20"/>
                <w:szCs w:val="21"/>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rPr>
                <w:rFonts w:hint="eastAsia"/>
                <w:lang w:val="en-US" w:eastAsia="zh-CN"/>
              </w:rPr>
            </w:pPr>
            <w:r>
              <w:rPr>
                <w:rFonts w:hint="eastAsia"/>
                <w:lang w:val="en-US" w:eastAsia="zh-CN"/>
              </w:rPr>
              <w:t>遗传性结直肠癌综合征介绍</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1"/>
              </w:rPr>
            </w:pPr>
            <w:r>
              <w:rPr>
                <w:sz w:val="20"/>
                <w:szCs w:val="21"/>
              </w:rPr>
              <w:fldChar w:fldCharType="begin"/>
            </w:r>
            <w:r>
              <w:rPr>
                <w:sz w:val="20"/>
                <w:szCs w:val="21"/>
              </w:rPr>
              <w:instrText xml:space="preserve"> PAGEREF 遗传性结直肠癌介绍 \h </w:instrText>
            </w:r>
            <w:r>
              <w:rPr>
                <w:sz w:val="20"/>
                <w:szCs w:val="21"/>
              </w:rPr>
              <w:fldChar w:fldCharType="separate"/>
            </w:r>
            <w:r>
              <w:rPr>
                <w:sz w:val="20"/>
                <w:szCs w:val="21"/>
              </w:rPr>
              <w:t>40</w:t>
            </w:r>
            <w:r>
              <w:rPr>
                <w:sz w:val="20"/>
                <w:szCs w:val="21"/>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rPr>
                <w:rFonts w:hint="eastAsia"/>
              </w:rPr>
            </w:pPr>
            <w:r>
              <w:rPr>
                <w:rFonts w:hint="eastAsia"/>
              </w:rPr>
              <w:t>参考文献</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1"/>
              </w:rPr>
            </w:pPr>
            <w:r>
              <w:rPr>
                <w:sz w:val="20"/>
                <w:szCs w:val="21"/>
              </w:rPr>
              <w:fldChar w:fldCharType="begin"/>
            </w:r>
            <w:r>
              <w:rPr>
                <w:sz w:val="20"/>
                <w:szCs w:val="21"/>
              </w:rPr>
              <w:instrText xml:space="preserve"> PAGEREF 参考文献 \h </w:instrText>
            </w:r>
            <w:r>
              <w:rPr>
                <w:sz w:val="20"/>
                <w:szCs w:val="21"/>
              </w:rPr>
              <w:fldChar w:fldCharType="separate"/>
            </w:r>
            <w:r>
              <w:rPr>
                <w:sz w:val="20"/>
                <w:szCs w:val="21"/>
              </w:rPr>
              <w:t>42</w:t>
            </w:r>
            <w:r>
              <w:rPr>
                <w:sz w:val="20"/>
                <w:szCs w:val="21"/>
              </w:rPr>
              <w:fldChar w:fldCharType="end"/>
            </w:r>
          </w:p>
        </w:tc>
      </w:tr>
    </w:tbl>
    <w:p>
      <w:r>
        <w:br w:type="page"/>
      </w:r>
    </w:p>
    <w:p>
      <w:pPr>
        <w:pStyle w:val="2"/>
        <w:ind w:firstLine="440" w:firstLineChars="100"/>
        <w:jc w:val="center"/>
        <w:rPr>
          <w:rFonts w:hAnsi="等线"/>
          <w:color w:val="00B0F0"/>
        </w:rPr>
      </w:pPr>
      <w:r>
        <mc:AlternateContent>
          <mc:Choice Requires="wps">
            <w:drawing>
              <wp:anchor distT="0" distB="0" distL="114300" distR="114300" simplePos="0" relativeHeight="251662336" behindDoc="1" locked="0" layoutInCell="1" allowOverlap="1">
                <wp:simplePos x="0" y="0"/>
                <wp:positionH relativeFrom="column">
                  <wp:posOffset>1796415</wp:posOffset>
                </wp:positionH>
                <wp:positionV relativeFrom="paragraph">
                  <wp:posOffset>-27305</wp:posOffset>
                </wp:positionV>
                <wp:extent cx="2828925" cy="561975"/>
                <wp:effectExtent l="12700" t="12700" r="15875" b="15875"/>
                <wp:wrapNone/>
                <wp:docPr id="1005" name="圆角矩形 3"/>
                <wp:cNvGraphicFramePr/>
                <a:graphic xmlns:a="http://schemas.openxmlformats.org/drawingml/2006/main">
                  <a:graphicData uri="http://schemas.microsoft.com/office/word/2010/wordprocessingShape">
                    <wps:wsp>
                      <wps:cNvSpPr/>
                      <wps:spPr>
                        <a:xfrm>
                          <a:off x="870585" y="824230"/>
                          <a:ext cx="2828925" cy="561975"/>
                        </a:xfrm>
                        <a:prstGeom prst="roundRect">
                          <a:avLst/>
                        </a:prstGeom>
                        <a:noFill/>
                        <a:ln w="25400">
                          <a:solidFill>
                            <a:srgbClr val="00B0F0"/>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id="_x0000_s1026" o:spid="_x0000_s1026" o:spt="2" style="position:absolute;left:0pt;margin-left:141.45pt;margin-top:-2.15pt;height:44.25pt;width:222.75pt;z-index:-251654144;v-text-anchor:middle;mso-width-relative:page;mso-height-relative:page;" filled="f" stroked="t" coordsize="21600,21600" arcsize="0.166666666666667" o:gfxdata="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">
                <v:fill on="f" focussize="0,0"/>
                <v:stroke weight="2pt" color="#00B0F0 [3204]" miterlimit="8" joinstyle="miter"/>
                <v:imagedata o:title=""/>
                <o:lock v:ext="edit" aspectratio="f"/>
                <v:textbox>
                  <w:txbxContent>
                    <w:p>
                      <w:pPr>
                        <w:jc w:val="center"/>
                      </w:pPr>
                    </w:p>
                  </w:txbxContent>
                </v:textbox>
              </v:roundrect>
            </w:pict>
          </mc:Fallback>
        </mc:AlternateContent>
      </w:r>
      <w:r>
        <w:rPr>
          <w:rFonts w:hAnsi="等线"/>
          <w:color w:val="00B0F0"/>
        </w:rPr>
        <w:t xml:space="preserve">Part 1: </w:t>
      </w:r>
      <w:bookmarkEnd w:id="1"/>
      <w:bookmarkEnd w:id="2"/>
      <w:bookmarkStart w:id="5" w:name="_Ref80371425"/>
      <w:r>
        <w:rPr>
          <w:rFonts w:hint="eastAsia" w:hAnsi="等线"/>
          <w:color w:val="00B0F0"/>
        </w:rPr>
        <w:t>基本信息</w:t>
      </w:r>
      <w:bookmarkEnd w:id="4"/>
    </w:p>
    <w:bookmarkEnd w:id="5"/>
    <w:p>
      <w:pPr>
        <w:spacing w:before="340" w:line="360" w:lineRule="auto"/>
        <w:jc w:val="left"/>
        <w:outlineLvl w:val="1"/>
        <w:rPr>
          <w:rFonts w:hAnsi="等线" w:cs="Arial"/>
          <w:b/>
          <w:bCs/>
          <w:color w:val="00B0F0"/>
          <w:sz w:val="28"/>
          <w:szCs w:val="28"/>
        </w:rPr>
      </w:pPr>
      <w:bookmarkStart w:id="6" w:name="_Toc89103138"/>
      <w:r>
        <w:rPr>
          <w:rFonts w:hint="eastAsia" w:hAnsi="等线" w:cs="Arial"/>
          <w:b/>
          <w:bCs/>
          <w:color w:val="00B0F0"/>
          <w:sz w:val="28"/>
          <w:szCs w:val="28"/>
        </w:rPr>
        <w:drawing>
          <wp:anchor distT="0" distB="0" distL="114300" distR="114300" simplePos="0" relativeHeight="251672576" behindDoc="0" locked="0" layoutInCell="1" allowOverlap="1">
            <wp:simplePos x="0" y="0"/>
            <wp:positionH relativeFrom="column">
              <wp:posOffset>133985</wp:posOffset>
            </wp:positionH>
            <wp:positionV relativeFrom="paragraph">
              <wp:posOffset>73025</wp:posOffset>
            </wp:positionV>
            <wp:extent cx="211455" cy="277495"/>
            <wp:effectExtent l="0" t="0" r="1905" b="12065"/>
            <wp:wrapNone/>
            <wp:docPr id="1006" name="图片 15" descr="资源 10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资源 1029"/>
                    <pic:cNvPicPr>
                      <a:picLocks noChangeAspect="1"/>
                    </pic:cNvPicPr>
                  </pic:nvPicPr>
                  <pic:blipFill>
                    <a:blip r:embed="rId10"/>
                    <a:stretch>
                      <a:fillRect/>
                    </a:stretch>
                  </pic:blipFill>
                  <pic:spPr>
                    <a:xfrm>
                      <a:off x="0" y="0"/>
                      <a:ext cx="211455" cy="277495"/>
                    </a:xfrm>
                    <a:prstGeom prst="rect">
                      <a:avLst/>
                    </a:prstGeom>
                  </pic:spPr>
                </pic:pic>
              </a:graphicData>
            </a:graphic>
          </wp:anchor>
        </w:drawing>
      </w:r>
      <w:r>
        <w:rPr>
          <w:rFonts w:hint="eastAsia" w:hAnsi="等线" w:cs="Arial"/>
          <w:b/>
          <w:bCs/>
          <w:color w:val="00B0F0"/>
          <w:sz w:val="28"/>
          <w:szCs w:val="28"/>
        </w:rPr>
        <w:t xml:space="preserve">     </w:t>
      </w:r>
      <w:bookmarkStart w:id="7" w:name="Part1：基本信息"/>
      <w:bookmarkEnd w:id="7"/>
      <w:bookmarkStart w:id="8" w:name="受检者信息"/>
      <w:bookmarkEnd w:id="8"/>
      <w:r>
        <w:rPr>
          <w:rFonts w:hint="eastAsia" w:hAnsi="等线" w:cs="Arial"/>
          <w:b/>
          <w:bCs/>
          <w:color w:val="00B0F0"/>
          <w:sz w:val="28"/>
          <w:szCs w:val="28"/>
        </w:rPr>
        <w:t>受检者信息</w:t>
      </w:r>
      <w:bookmarkEnd w:id="6"/>
    </w:p>
    <w:tbl>
      <w:tblPr>
        <w:tblStyle w:val="21"/>
        <w:tblW w:w="0" w:type="auto"/>
        <w:jc w:val="center"/>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Layout w:type="fixed"/>
        <w:tblCellMar>
          <w:top w:w="0" w:type="dxa"/>
          <w:left w:w="108" w:type="dxa"/>
          <w:bottom w:w="0" w:type="dxa"/>
          <w:right w:w="108" w:type="dxa"/>
        </w:tblCellMar>
      </w:tblPr>
      <w:tblGrid>
        <w:gridCol w:w="1701"/>
        <w:gridCol w:w="2689"/>
        <w:gridCol w:w="1666"/>
        <w:gridCol w:w="2754"/>
      </w:tblGrid>
      <w:tr>
        <w:tblPrEx>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CellMar>
            <w:top w:w="0" w:type="dxa"/>
            <w:left w:w="108" w:type="dxa"/>
            <w:bottom w:w="0" w:type="dxa"/>
            <w:right w:w="108" w:type="dxa"/>
          </w:tblCellMar>
        </w:tblPrEx>
        <w:trPr>
          <w:jc w:val="center"/>
        </w:trPr>
        <w:tc>
          <w:tcPr>
            <w:tcW w:w="8810" w:type="dxa"/>
            <w:gridSpan w:val="4"/>
            <w:tcBorders>
              <w:top w:val="single" w:color="4472C4" w:sz="8" w:space="0"/>
              <w:left w:val="single" w:color="FEFEFE" w:sz="8" w:space="0"/>
              <w:bottom w:val="nil"/>
              <w:right w:val="single" w:color="FEFEFE" w:sz="8" w:space="0"/>
            </w:tcBorders>
            <w:shd w:val="clear" w:color="auto" w:fill="FEFEFE"/>
            <w:vAlign w:val="center"/>
          </w:tcPr>
          <w:p>
            <w:pPr>
              <w:spacing w:line="20" w:lineRule="exact"/>
            </w:pPr>
          </w:p>
        </w:tc>
      </w:tr>
      <w:tr>
        <w:tblPrEx>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CellMar>
            <w:top w:w="0" w:type="dxa"/>
            <w:left w:w="108" w:type="dxa"/>
            <w:bottom w:w="0" w:type="dxa"/>
            <w:right w:w="108" w:type="dxa"/>
          </w:tblCellMar>
        </w:tblPrEx>
        <w:trPr>
          <w:trHeight w:val="510" w:hRule="atLeast"/>
          <w:jc w:val="center"/>
        </w:trPr>
        <w:tc>
          <w:tcPr>
            <w:tcW w:w="1701" w:type="dxa"/>
            <w:tcBorders>
              <w:top w:val="nil"/>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Ansi="等线" w:cs="Arial"/>
                <w:b/>
                <w:bCs/>
                <w:color w:val="000000"/>
                <w:szCs w:val="21"/>
              </w:rPr>
            </w:pPr>
            <w:r>
              <w:rPr>
                <w:rFonts w:hint="eastAsia" w:hAnsi="等线" w:cs="Arial"/>
                <w:b/>
                <w:bCs/>
                <w:color w:val="000000"/>
                <w:szCs w:val="21"/>
              </w:rPr>
              <w:t xml:space="preserve">姓 </w:t>
            </w:r>
            <w:r>
              <w:rPr>
                <w:rFonts w:hAnsi="等线" w:cs="Arial"/>
                <w:b/>
                <w:bCs/>
                <w:color w:val="000000"/>
                <w:szCs w:val="21"/>
              </w:rPr>
              <w:t xml:space="preserve">   </w:t>
            </w:r>
            <w:r>
              <w:rPr>
                <w:rFonts w:hint="eastAsia" w:hAnsi="等线" w:cs="Arial"/>
                <w:b/>
                <w:bCs/>
                <w:color w:val="000000"/>
                <w:szCs w:val="21"/>
              </w:rPr>
              <w:t>名：</w:t>
            </w:r>
          </w:p>
        </w:tc>
        <w:tc>
          <w:tcPr>
            <w:tcW w:w="2689" w:type="dxa"/>
            <w:tcBorders>
              <w:top w:val="nil"/>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hAnsi="等线" w:eastAsia="等线" w:cs="Arial"/>
                <w:b/>
                <w:bCs/>
                <w:color w:val="000000"/>
                <w:szCs w:val="21"/>
                <w:lang w:eastAsia="zh-CN"/>
              </w:rPr>
            </w:pPr>
            <w:r>
              <w:rPr>
                <w:rFonts w:hint="eastAsia" w:hAnsi="等线" w:cs="Arial"/>
                <w:color w:val="000000"/>
                <w:szCs w:val="21"/>
                <w:lang w:eastAsia="zh-CN"/>
              </w:rPr>
              <w:t xml:space="preserve">刘杰</w:t>
            </w:r>
          </w:p>
        </w:tc>
        <w:tc>
          <w:tcPr>
            <w:tcW w:w="1666" w:type="dxa"/>
            <w:tcBorders>
              <w:top w:val="nil"/>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Ansi="等线" w:cs="Arial"/>
                <w:b/>
                <w:bCs/>
                <w:color w:val="000000"/>
                <w:szCs w:val="21"/>
              </w:rPr>
            </w:pPr>
            <w:r>
              <w:rPr>
                <w:rFonts w:hint="eastAsia" w:hAnsi="等线" w:cs="Arial"/>
                <w:b/>
                <w:bCs/>
                <w:color w:val="000000"/>
                <w:szCs w:val="21"/>
              </w:rPr>
              <w:t xml:space="preserve">性 </w:t>
            </w:r>
            <w:r>
              <w:rPr>
                <w:rFonts w:hAnsi="等线" w:cs="Arial"/>
                <w:b/>
                <w:bCs/>
                <w:color w:val="000000"/>
                <w:szCs w:val="21"/>
              </w:rPr>
              <w:t xml:space="preserve">   </w:t>
            </w:r>
            <w:r>
              <w:rPr>
                <w:rFonts w:hint="eastAsia" w:hAnsi="等线" w:cs="Arial"/>
                <w:b/>
                <w:bCs/>
                <w:color w:val="000000"/>
                <w:szCs w:val="21"/>
              </w:rPr>
              <w:t>别：</w:t>
            </w:r>
          </w:p>
        </w:tc>
        <w:tc>
          <w:tcPr>
            <w:tcW w:w="2754" w:type="dxa"/>
            <w:tcBorders>
              <w:top w:val="nil"/>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hAnsi="等线" w:eastAsia="等线" w:cs="Arial"/>
                <w:color w:val="000000"/>
                <w:szCs w:val="21"/>
                <w:lang w:eastAsia="zh-CN"/>
              </w:rPr>
            </w:pPr>
            <w:r>
              <w:rPr>
                <w:rFonts w:hint="eastAsia" w:hAnsi="等线" w:cs="Arial"/>
                <w:color w:val="000000"/>
                <w:szCs w:val="21"/>
                <w:lang w:eastAsia="zh-CN" w:bidi="ar"/>
              </w:rPr>
              <w:t xml:space="preserve">女</w:t>
            </w:r>
          </w:p>
        </w:tc>
      </w:tr>
      <w:tr>
        <w:tblPrEx>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CellMar>
            <w:top w:w="0" w:type="dxa"/>
            <w:left w:w="108" w:type="dxa"/>
            <w:bottom w:w="0" w:type="dxa"/>
            <w:right w:w="108" w:type="dxa"/>
          </w:tblCellMar>
        </w:tblPrEx>
        <w:trPr>
          <w:trHeight w:val="510" w:hRule="atLeast"/>
          <w:jc w:val="center"/>
        </w:trPr>
        <w:tc>
          <w:tcPr>
            <w:tcW w:w="1701" w:type="dxa"/>
            <w:tcBorders>
              <w:top w:val="single" w:color="4684D3" w:sz="8" w:space="0"/>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Ansi="等线" w:cs="Arial"/>
                <w:b/>
                <w:bCs/>
                <w:color w:val="000000"/>
                <w:szCs w:val="21"/>
              </w:rPr>
            </w:pPr>
            <w:r>
              <w:rPr>
                <w:rFonts w:hint="eastAsia" w:hAnsi="等线" w:cs="Arial"/>
                <w:b/>
                <w:bCs/>
                <w:color w:val="000000"/>
                <w:szCs w:val="21"/>
              </w:rPr>
              <w:t xml:space="preserve">年  </w:t>
            </w:r>
            <w:r>
              <w:rPr>
                <w:rFonts w:hAnsi="等线" w:cs="Arial"/>
                <w:b/>
                <w:bCs/>
                <w:color w:val="000000"/>
                <w:szCs w:val="21"/>
              </w:rPr>
              <w:t xml:space="preserve">  </w:t>
            </w:r>
            <w:r>
              <w:rPr>
                <w:rFonts w:hint="eastAsia" w:hAnsi="等线" w:cs="Arial"/>
                <w:b/>
                <w:bCs/>
                <w:color w:val="000000"/>
                <w:szCs w:val="21"/>
              </w:rPr>
              <w:t>龄：</w:t>
            </w:r>
          </w:p>
        </w:tc>
        <w:tc>
          <w:tcPr>
            <w:tcW w:w="2689" w:type="dxa"/>
            <w:tcBorders>
              <w:top w:val="single" w:color="4684D3" w:sz="8" w:space="0"/>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hAnsi="等线" w:eastAsia="等线" w:cs="Arial"/>
                <w:color w:val="000000"/>
                <w:szCs w:val="21"/>
                <w:lang w:eastAsia="zh-CN"/>
              </w:rPr>
            </w:pPr>
            <w:r>
              <w:rPr>
                <w:rFonts w:hint="eastAsia" w:hAnsi="等线" w:cs="Arial"/>
                <w:color w:val="000000"/>
                <w:szCs w:val="21"/>
                <w:lang w:eastAsia="zh-CN"/>
              </w:rPr>
              <w:t xml:space="preserve">57</w:t>
            </w:r>
          </w:p>
        </w:tc>
        <w:tc>
          <w:tcPr>
            <w:tcW w:w="1666" w:type="dxa"/>
            <w:tcBorders>
              <w:top w:val="single" w:color="4684D3" w:sz="8" w:space="0"/>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Ansi="等线" w:cs="Arial"/>
                <w:b/>
                <w:bCs/>
                <w:color w:val="000000"/>
                <w:szCs w:val="21"/>
              </w:rPr>
            </w:pPr>
            <w:r>
              <w:rPr>
                <w:rFonts w:hint="eastAsia" w:hAnsi="等线" w:cs="Arial"/>
                <w:b/>
                <w:bCs/>
                <w:color w:val="000000"/>
                <w:szCs w:val="21"/>
              </w:rPr>
              <w:t>联系方式：</w:t>
            </w:r>
          </w:p>
        </w:tc>
        <w:tc>
          <w:tcPr>
            <w:tcW w:w="2754" w:type="dxa"/>
            <w:tcBorders>
              <w:top w:val="single" w:color="4684D3" w:sz="8" w:space="0"/>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hAnsi="等线" w:eastAsia="等线" w:cs="Arial"/>
                <w:color w:val="000000"/>
                <w:szCs w:val="21"/>
                <w:lang w:eastAsia="zh-CN"/>
              </w:rPr>
            </w:pPr>
            <w:r>
              <w:rPr>
                <w:rFonts w:hint="eastAsia" w:hAnsi="等线" w:cs="Arial"/>
                <w:color w:val="000000"/>
                <w:szCs w:val="21"/>
                <w:lang w:val="en-US" w:eastAsia="zh-CN" w:bidi="ar"/>
              </w:rPr>
              <w:t>/</w:t>
            </w:r>
          </w:p>
        </w:tc>
      </w:tr>
      <w:tr>
        <w:tblPrEx>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CellMar>
            <w:top w:w="0" w:type="dxa"/>
            <w:left w:w="108" w:type="dxa"/>
            <w:bottom w:w="0" w:type="dxa"/>
            <w:right w:w="108" w:type="dxa"/>
          </w:tblCellMar>
        </w:tblPrEx>
        <w:trPr>
          <w:jc w:val="center"/>
        </w:trPr>
        <w:tc>
          <w:tcPr>
            <w:tcW w:w="1701" w:type="dxa"/>
            <w:tcBorders>
              <w:top w:val="single" w:color="4684D3" w:sz="8" w:space="0"/>
              <w:left w:val="single" w:color="FEFEFE" w:sz="8" w:space="0"/>
              <w:bottom w:val="nil"/>
              <w:right w:val="single" w:color="FEFEFE" w:sz="8" w:space="0"/>
            </w:tcBorders>
            <w:shd w:val="clear" w:color="auto" w:fill="FEFEFE"/>
            <w:vAlign w:val="center"/>
          </w:tcPr>
          <w:p>
            <w:pPr>
              <w:spacing w:line="20" w:lineRule="exact"/>
            </w:pPr>
          </w:p>
        </w:tc>
        <w:tc>
          <w:tcPr>
            <w:tcW w:w="2689" w:type="dxa"/>
            <w:tcBorders>
              <w:top w:val="single" w:color="4684D3" w:sz="8" w:space="0"/>
              <w:left w:val="single" w:color="FEFEFE" w:sz="8" w:space="0"/>
              <w:bottom w:val="nil"/>
              <w:right w:val="single" w:color="FEFEFE" w:sz="8" w:space="0"/>
            </w:tcBorders>
            <w:shd w:val="clear" w:color="auto" w:fill="FEFEFE"/>
            <w:vAlign w:val="center"/>
          </w:tcPr>
          <w:p>
            <w:pPr>
              <w:spacing w:line="20" w:lineRule="exact"/>
            </w:pPr>
          </w:p>
        </w:tc>
        <w:tc>
          <w:tcPr>
            <w:tcW w:w="1666" w:type="dxa"/>
            <w:tcBorders>
              <w:top w:val="single" w:color="4684D3" w:sz="8" w:space="0"/>
              <w:left w:val="single" w:color="FEFEFE" w:sz="8" w:space="0"/>
              <w:bottom w:val="nil"/>
              <w:right w:val="single" w:color="FEFEFE" w:sz="8" w:space="0"/>
            </w:tcBorders>
            <w:shd w:val="clear" w:color="auto" w:fill="FEFEFE"/>
            <w:vAlign w:val="center"/>
          </w:tcPr>
          <w:p>
            <w:pPr>
              <w:spacing w:line="20" w:lineRule="exact"/>
            </w:pPr>
          </w:p>
        </w:tc>
        <w:tc>
          <w:tcPr>
            <w:tcW w:w="2754" w:type="dxa"/>
            <w:tcBorders>
              <w:top w:val="single" w:color="4684D3" w:sz="8" w:space="0"/>
              <w:left w:val="single" w:color="FEFEFE" w:sz="8" w:space="0"/>
              <w:bottom w:val="nil"/>
              <w:right w:val="single" w:color="FEFEFE" w:sz="8" w:space="0"/>
            </w:tcBorders>
            <w:shd w:val="clear" w:color="auto" w:fill="FEFEFE"/>
            <w:vAlign w:val="center"/>
          </w:tcPr>
          <w:p>
            <w:pPr>
              <w:spacing w:line="20" w:lineRule="exact"/>
            </w:pPr>
          </w:p>
        </w:tc>
      </w:tr>
      <w:tr>
        <w:tblPrEx>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CellMar>
            <w:top w:w="0" w:type="dxa"/>
            <w:left w:w="108" w:type="dxa"/>
            <w:bottom w:w="0" w:type="dxa"/>
            <w:right w:w="108" w:type="dxa"/>
          </w:tblCellMar>
        </w:tblPrEx>
        <w:trPr>
          <w:trHeight w:val="510" w:hRule="atLeast"/>
          <w:jc w:val="center"/>
        </w:trPr>
        <w:tc>
          <w:tcPr>
            <w:tcW w:w="1701" w:type="dxa"/>
            <w:tcBorders>
              <w:top w:val="nil"/>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b/>
                <w:bCs/>
                <w:color w:val="000000"/>
                <w:szCs w:val="21"/>
              </w:rPr>
            </w:pPr>
            <w:r>
              <w:rPr>
                <w:rFonts w:hAnsi="等线" w:cs="Arial"/>
                <w:b/>
                <w:bCs/>
                <w:color w:val="000000"/>
                <w:szCs w:val="21"/>
              </w:rPr>
              <w:t>用</w:t>
            </w:r>
            <w:r>
              <w:rPr>
                <w:rFonts w:hint="eastAsia" w:hAnsi="等线" w:cs="Arial"/>
                <w:b/>
                <w:bCs/>
                <w:color w:val="000000"/>
                <w:szCs w:val="21"/>
              </w:rPr>
              <w:t xml:space="preserve"> </w:t>
            </w:r>
            <w:r>
              <w:rPr>
                <w:rFonts w:hAnsi="等线" w:cs="Arial"/>
                <w:b/>
                <w:bCs/>
                <w:color w:val="000000"/>
                <w:szCs w:val="21"/>
              </w:rPr>
              <w:t>药</w:t>
            </w:r>
            <w:r>
              <w:rPr>
                <w:rFonts w:hint="eastAsia" w:hAnsi="等线" w:cs="Arial"/>
                <w:b/>
                <w:bCs/>
                <w:color w:val="000000"/>
                <w:szCs w:val="21"/>
              </w:rPr>
              <w:t xml:space="preserve"> </w:t>
            </w:r>
            <w:r>
              <w:rPr>
                <w:rFonts w:hAnsi="等线" w:cs="Arial"/>
                <w:b/>
                <w:bCs/>
                <w:color w:val="000000"/>
                <w:szCs w:val="21"/>
              </w:rPr>
              <w:t>史</w:t>
            </w:r>
            <w:r>
              <w:rPr>
                <w:rFonts w:hint="eastAsia" w:hAnsi="等线" w:cs="Arial"/>
                <w:b/>
                <w:bCs/>
                <w:color w:val="000000"/>
                <w:szCs w:val="21"/>
              </w:rPr>
              <w:t>：</w:t>
            </w:r>
          </w:p>
        </w:tc>
        <w:tc>
          <w:tcPr>
            <w:tcW w:w="7109" w:type="dxa"/>
            <w:gridSpan w:val="3"/>
            <w:tcBorders>
              <w:top w:val="nil"/>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int="eastAsia" w:hAnsi="等线" w:eastAsia="等线"/>
                <w:color w:val="000000"/>
                <w:szCs w:val="21"/>
                <w:lang w:eastAsia="zh-CN"/>
              </w:rPr>
            </w:pPr>
            <w:r>
              <w:rPr>
                <w:rFonts w:hint="eastAsia" w:hAnsi="等线"/>
                <w:szCs w:val="21"/>
                <w:lang w:eastAsia="zh-CN" w:bidi="ar"/>
              </w:rPr>
              <w:t xml:space="preserve">/</w:t>
            </w:r>
          </w:p>
        </w:tc>
      </w:tr>
      <w:tr>
        <w:tblPrEx>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CellMar>
            <w:top w:w="0" w:type="dxa"/>
            <w:left w:w="108" w:type="dxa"/>
            <w:bottom w:w="0" w:type="dxa"/>
            <w:right w:w="108" w:type="dxa"/>
          </w:tblCellMar>
        </w:tblPrEx>
        <w:trPr>
          <w:trHeight w:val="510" w:hRule="atLeast"/>
          <w:jc w:val="center"/>
        </w:trPr>
        <w:tc>
          <w:tcPr>
            <w:tcW w:w="1701"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b/>
                <w:bCs/>
                <w:color w:val="000000"/>
                <w:szCs w:val="21"/>
              </w:rPr>
            </w:pPr>
            <w:r>
              <w:rPr>
                <w:rFonts w:hAnsi="等线" w:cs="Arial"/>
                <w:b/>
                <w:bCs/>
                <w:color w:val="000000"/>
                <w:szCs w:val="21"/>
              </w:rPr>
              <w:t>家</w:t>
            </w:r>
            <w:r>
              <w:rPr>
                <w:rFonts w:hint="eastAsia" w:hAnsi="等线" w:cs="Arial"/>
                <w:b/>
                <w:bCs/>
                <w:color w:val="000000"/>
                <w:szCs w:val="21"/>
              </w:rPr>
              <w:t xml:space="preserve"> </w:t>
            </w:r>
            <w:r>
              <w:rPr>
                <w:rFonts w:hAnsi="等线" w:cs="Arial"/>
                <w:b/>
                <w:bCs/>
                <w:color w:val="000000"/>
                <w:szCs w:val="21"/>
              </w:rPr>
              <w:t>族</w:t>
            </w:r>
            <w:r>
              <w:rPr>
                <w:rFonts w:hint="eastAsia" w:hAnsi="等线" w:cs="Arial"/>
                <w:b/>
                <w:bCs/>
                <w:color w:val="000000"/>
                <w:szCs w:val="21"/>
              </w:rPr>
              <w:t xml:space="preserve"> </w:t>
            </w:r>
            <w:r>
              <w:rPr>
                <w:rFonts w:hAnsi="等线" w:cs="Arial"/>
                <w:b/>
                <w:bCs/>
                <w:color w:val="000000"/>
                <w:szCs w:val="21"/>
              </w:rPr>
              <w:t>史</w:t>
            </w:r>
            <w:r>
              <w:rPr>
                <w:rFonts w:hint="eastAsia" w:hAnsi="等线" w:cs="Arial"/>
                <w:b/>
                <w:bCs/>
                <w:color w:val="000000"/>
                <w:szCs w:val="21"/>
              </w:rPr>
              <w:t>：</w:t>
            </w:r>
          </w:p>
        </w:tc>
        <w:tc>
          <w:tcPr>
            <w:tcW w:w="7109" w:type="dxa"/>
            <w:gridSpan w:val="3"/>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int="eastAsia" w:hAnsi="等线" w:eastAsia="等线" w:cs="Arial"/>
                <w:color w:val="000000"/>
                <w:szCs w:val="21"/>
                <w:lang w:eastAsia="zh-CN"/>
              </w:rPr>
            </w:pPr>
            <w:r>
              <w:rPr>
                <w:rFonts w:hint="eastAsia" w:hAnsi="等线" w:cs="Arial"/>
                <w:szCs w:val="21"/>
                <w:lang w:eastAsia="zh-CN" w:bidi="ar"/>
              </w:rPr>
              <w:t xml:space="preserve">/</w:t>
            </w:r>
          </w:p>
        </w:tc>
      </w:tr>
    </w:tbl>
    <w:p>
      <w:pPr>
        <w:rPr>
          <w:rFonts w:hint="eastAsia"/>
        </w:rPr>
      </w:pPr>
      <w:bookmarkStart w:id="9" w:name="_Toc89103139"/>
    </w:p>
    <w:p>
      <w:pPr>
        <w:spacing w:before="340" w:line="360" w:lineRule="auto"/>
        <w:jc w:val="left"/>
        <w:outlineLvl w:val="1"/>
        <w:rPr>
          <w:rFonts w:hAnsi="等线" w:cs="Arial"/>
          <w:b/>
          <w:bCs/>
          <w:color w:val="00B0F0"/>
          <w:sz w:val="28"/>
          <w:szCs w:val="28"/>
        </w:rPr>
      </w:pPr>
      <w:r>
        <w:rPr>
          <w:rFonts w:hint="eastAsia" w:hAnsi="等线" w:cs="Arial"/>
          <w:b/>
          <w:bCs/>
          <w:color w:val="00B0F0"/>
          <w:sz w:val="28"/>
          <w:szCs w:val="28"/>
        </w:rPr>
        <w:drawing>
          <wp:anchor distT="0" distB="0" distL="114300" distR="114300" simplePos="0" relativeHeight="251663360" behindDoc="0" locked="0" layoutInCell="1" allowOverlap="1">
            <wp:simplePos x="0" y="0"/>
            <wp:positionH relativeFrom="column">
              <wp:posOffset>136525</wp:posOffset>
            </wp:positionH>
            <wp:positionV relativeFrom="paragraph">
              <wp:posOffset>269875</wp:posOffset>
            </wp:positionV>
            <wp:extent cx="211455" cy="277495"/>
            <wp:effectExtent l="0" t="0" r="1905" b="12065"/>
            <wp:wrapNone/>
            <wp:docPr id="1007" name="图片 5" descr="资源 10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资源 1029"/>
                    <pic:cNvPicPr>
                      <a:picLocks noChangeAspect="1"/>
                    </pic:cNvPicPr>
                  </pic:nvPicPr>
                  <pic:blipFill>
                    <a:blip r:embed="rId10"/>
                    <a:stretch>
                      <a:fillRect/>
                    </a:stretch>
                  </pic:blipFill>
                  <pic:spPr>
                    <a:xfrm>
                      <a:off x="0" y="0"/>
                      <a:ext cx="211455" cy="277495"/>
                    </a:xfrm>
                    <a:prstGeom prst="rect">
                      <a:avLst/>
                    </a:prstGeom>
                  </pic:spPr>
                </pic:pic>
              </a:graphicData>
            </a:graphic>
          </wp:anchor>
        </w:drawing>
      </w:r>
      <w:r>
        <w:rPr>
          <w:rFonts w:hint="eastAsia" w:hAnsi="等线" w:cs="Arial"/>
          <w:b/>
          <w:bCs/>
          <w:color w:val="00B0F0"/>
          <w:sz w:val="28"/>
          <w:szCs w:val="28"/>
        </w:rPr>
        <w:t xml:space="preserve">     </w:t>
      </w:r>
      <w:bookmarkStart w:id="10" w:name="样本信息"/>
      <w:bookmarkEnd w:id="10"/>
      <w:r>
        <w:rPr>
          <w:rFonts w:hint="eastAsia" w:hAnsi="等线" w:cs="Arial"/>
          <w:b/>
          <w:bCs/>
          <w:color w:val="00B0F0"/>
          <w:sz w:val="28"/>
          <w:szCs w:val="28"/>
        </w:rPr>
        <w:t>样本信息</w:t>
      </w:r>
      <w:bookmarkEnd w:id="9"/>
    </w:p>
    <w:tbl>
      <w:tblPr>
        <w:tblStyle w:val="21"/>
        <w:tblW w:w="0" w:type="auto"/>
        <w:jc w:val="center"/>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Layout w:type="fixed"/>
        <w:tblCellMar>
          <w:top w:w="0" w:type="dxa"/>
          <w:left w:w="108" w:type="dxa"/>
          <w:bottom w:w="0" w:type="dxa"/>
          <w:right w:w="108" w:type="dxa"/>
        </w:tblCellMar>
      </w:tblPr>
      <w:tblGrid>
        <w:gridCol w:w="1696"/>
        <w:gridCol w:w="2823"/>
        <w:gridCol w:w="1537"/>
        <w:gridCol w:w="2754"/>
      </w:tblGrid>
      <w:tr>
        <w:tblPrEx>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CellMar>
            <w:top w:w="0" w:type="dxa"/>
            <w:left w:w="108" w:type="dxa"/>
            <w:bottom w:w="0" w:type="dxa"/>
            <w:right w:w="108" w:type="dxa"/>
          </w:tblCellMar>
        </w:tblPrEx>
        <w:trPr>
          <w:jc w:val="center"/>
        </w:trPr>
        <w:tc>
          <w:tcPr>
            <w:tcW w:w="8810" w:type="dxa"/>
            <w:gridSpan w:val="4"/>
            <w:tcBorders>
              <w:top w:val="single" w:color="4472C4" w:sz="8" w:space="0"/>
              <w:left w:val="single" w:color="FEFEFE" w:sz="8" w:space="0"/>
              <w:bottom w:val="nil"/>
              <w:right w:val="single" w:color="FEFEFE" w:sz="8" w:space="0"/>
            </w:tcBorders>
            <w:shd w:val="clear" w:color="auto" w:fill="FEFEFE"/>
            <w:vAlign w:val="center"/>
          </w:tcPr>
          <w:p>
            <w:pPr>
              <w:spacing w:line="20" w:lineRule="exact"/>
            </w:pPr>
          </w:p>
        </w:tc>
      </w:tr>
      <w:tr>
        <w:tblPrEx>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CellMar>
            <w:top w:w="0" w:type="dxa"/>
            <w:left w:w="108" w:type="dxa"/>
            <w:bottom w:w="0" w:type="dxa"/>
            <w:right w:w="108" w:type="dxa"/>
          </w:tblCellMar>
        </w:tblPrEx>
        <w:trPr>
          <w:trHeight w:val="510" w:hRule="atLeast"/>
          <w:jc w:val="center"/>
        </w:trPr>
        <w:tc>
          <w:tcPr>
            <w:tcW w:w="1696" w:type="dxa"/>
            <w:tcBorders>
              <w:top w:val="nil"/>
              <w:left w:val="single" w:color="FEFEFE" w:sz="8" w:space="0"/>
              <w:bottom w:val="single" w:color="4472C4" w:sz="8" w:space="0"/>
              <w:right w:val="single" w:color="FEFEFE" w:sz="8" w:space="0"/>
            </w:tcBorders>
            <w:shd w:val="clear" w:color="auto" w:fill="FEFEFE"/>
            <w:vAlign w:val="center"/>
          </w:tcPr>
          <w:p>
            <w:pPr>
              <w:widowControl/>
              <w:spacing w:line="360" w:lineRule="auto"/>
              <w:jc w:val="center"/>
              <w:rPr>
                <w:rFonts w:hAnsi="等线" w:cs="Arial"/>
                <w:b/>
                <w:bCs/>
                <w:color w:val="000000"/>
                <w:szCs w:val="21"/>
              </w:rPr>
            </w:pPr>
            <w:r>
              <w:rPr>
                <w:rFonts w:hint="eastAsia" w:hAnsi="等线" w:cs="Arial"/>
                <w:b/>
                <w:bCs/>
                <w:color w:val="000000"/>
                <w:szCs w:val="21"/>
              </w:rPr>
              <w:t>肿瘤</w:t>
            </w:r>
            <w:r>
              <w:rPr>
                <w:rFonts w:hAnsi="等线" w:cs="Arial"/>
                <w:b/>
                <w:bCs/>
                <w:color w:val="000000"/>
                <w:szCs w:val="21"/>
              </w:rPr>
              <w:t>样本</w:t>
            </w:r>
            <w:r>
              <w:rPr>
                <w:rFonts w:hint="eastAsia" w:hAnsi="等线" w:cs="Arial"/>
                <w:b/>
                <w:bCs/>
                <w:color w:val="000000"/>
                <w:szCs w:val="21"/>
              </w:rPr>
              <w:t>I</w:t>
            </w:r>
            <w:r>
              <w:rPr>
                <w:rFonts w:hAnsi="等线" w:cs="Arial"/>
                <w:b/>
                <w:bCs/>
                <w:color w:val="000000"/>
                <w:szCs w:val="21"/>
              </w:rPr>
              <w:t>D</w:t>
            </w:r>
            <w:r>
              <w:rPr>
                <w:rFonts w:hint="eastAsia" w:hAnsi="等线" w:cs="Arial"/>
                <w:b/>
                <w:bCs/>
                <w:color w:val="000000"/>
                <w:szCs w:val="21"/>
              </w:rPr>
              <w:t>：</w:t>
            </w:r>
          </w:p>
        </w:tc>
        <w:tc>
          <w:tcPr>
            <w:tcW w:w="2823" w:type="dxa"/>
            <w:tcBorders>
              <w:top w:val="nil"/>
              <w:left w:val="single" w:color="FEFEFE" w:sz="8" w:space="0"/>
              <w:bottom w:val="single" w:color="4472C4" w:sz="8" w:space="0"/>
              <w:right w:val="single" w:color="FEFEFE" w:sz="8" w:space="0"/>
            </w:tcBorders>
            <w:shd w:val="clear" w:color="auto" w:fill="FEFEFE"/>
            <w:vAlign w:val="center"/>
          </w:tcPr>
          <w:p>
            <w:pPr>
              <w:widowControl/>
              <w:spacing w:line="360" w:lineRule="auto"/>
              <w:jc w:val="center"/>
              <w:rPr>
                <w:rFonts w:hint="eastAsia" w:hAnsi="等线" w:eastAsia="等线" w:cs="Arial"/>
                <w:color w:val="000000"/>
                <w:szCs w:val="21"/>
                <w:lang w:eastAsia="zh-CN"/>
              </w:rPr>
            </w:pPr>
            <w:r>
              <w:rPr>
                <w:rFonts w:hint="eastAsia" w:hAnsi="等线" w:cs="Arial"/>
                <w:color w:val="000000"/>
                <w:szCs w:val="21"/>
                <w:lang w:eastAsia="zh-CN" w:bidi="ar"/>
              </w:rPr>
              <w:t xml:space="preserve">2023WSSW000709-T</w:t>
            </w:r>
          </w:p>
        </w:tc>
        <w:tc>
          <w:tcPr>
            <w:tcW w:w="1537" w:type="dxa"/>
            <w:tcBorders>
              <w:top w:val="nil"/>
              <w:left w:val="single" w:color="FEFEFE" w:sz="8" w:space="0"/>
              <w:bottom w:val="single" w:color="4472C4" w:sz="8" w:space="0"/>
              <w:right w:val="single" w:color="FEFEFE" w:sz="8" w:space="0"/>
            </w:tcBorders>
            <w:shd w:val="clear" w:color="auto" w:fill="FEFEFE"/>
            <w:vAlign w:val="center"/>
          </w:tcPr>
          <w:p>
            <w:pPr>
              <w:widowControl/>
              <w:spacing w:line="360" w:lineRule="auto"/>
              <w:jc w:val="center"/>
              <w:rPr>
                <w:rFonts w:hAnsi="等线" w:cs="Arial"/>
                <w:b/>
                <w:bCs/>
                <w:color w:val="000000"/>
                <w:szCs w:val="21"/>
              </w:rPr>
            </w:pPr>
            <w:r>
              <w:rPr>
                <w:rFonts w:hAnsi="等线" w:cs="Arial"/>
                <w:b/>
                <w:bCs/>
                <w:color w:val="000000"/>
                <w:szCs w:val="21"/>
              </w:rPr>
              <w:t>样本类型</w:t>
            </w:r>
            <w:r>
              <w:rPr>
                <w:rFonts w:hint="eastAsia" w:hAnsi="等线" w:cs="Arial"/>
                <w:b/>
                <w:bCs/>
                <w:color w:val="000000"/>
                <w:szCs w:val="21"/>
              </w:rPr>
              <w:t>：</w:t>
            </w:r>
          </w:p>
        </w:tc>
        <w:tc>
          <w:tcPr>
            <w:tcW w:w="2754" w:type="dxa"/>
            <w:tcBorders>
              <w:top w:val="nil"/>
              <w:left w:val="single" w:color="FEFEFE" w:sz="8" w:space="0"/>
              <w:bottom w:val="single" w:color="4472C4" w:sz="8" w:space="0"/>
              <w:right w:val="single" w:color="FEFEFE" w:sz="8" w:space="0"/>
            </w:tcBorders>
            <w:shd w:val="clear" w:color="auto" w:fill="FEFEFE"/>
            <w:vAlign w:val="center"/>
          </w:tcPr>
          <w:p>
            <w:pPr>
              <w:widowControl/>
              <w:spacing w:line="360" w:lineRule="auto"/>
              <w:jc w:val="center"/>
              <w:rPr>
                <w:rFonts w:hint="eastAsia" w:hAnsi="等线" w:eastAsia="等线" w:cs="Arial"/>
                <w:color w:val="000000"/>
                <w:szCs w:val="21"/>
                <w:lang w:eastAsia="zh-CN"/>
              </w:rPr>
            </w:pPr>
            <w:r>
              <w:rPr>
                <w:rFonts w:hint="eastAsia" w:hAnsi="等线" w:cs="Arial"/>
                <w:color w:val="000000"/>
                <w:szCs w:val="21"/>
                <w:lang w:eastAsia="zh-CN" w:bidi="ar"/>
              </w:rPr>
              <w:t xml:space="preserve">蜡块</w:t>
            </w:r>
          </w:p>
        </w:tc>
      </w:tr>
      <w:tr>
        <w:tblPrEx>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CellMar>
            <w:top w:w="0" w:type="dxa"/>
            <w:left w:w="108" w:type="dxa"/>
            <w:bottom w:w="0" w:type="dxa"/>
            <w:right w:w="108" w:type="dxa"/>
          </w:tblCellMar>
        </w:tblPrEx>
        <w:trPr>
          <w:trHeight w:val="510" w:hRule="atLeast"/>
          <w:jc w:val="center"/>
        </w:trPr>
        <w:tc>
          <w:tcPr>
            <w:tcW w:w="1696"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b/>
                <w:bCs/>
                <w:color w:val="000000"/>
                <w:szCs w:val="21"/>
              </w:rPr>
            </w:pPr>
            <w:r>
              <w:rPr>
                <w:rFonts w:hint="eastAsia" w:hAnsi="等线" w:cs="Arial"/>
                <w:b/>
                <w:bCs/>
                <w:color w:val="000000"/>
                <w:szCs w:val="21"/>
              </w:rPr>
              <w:t>到样</w:t>
            </w:r>
            <w:r>
              <w:rPr>
                <w:rFonts w:hAnsi="等线" w:cs="Arial"/>
                <w:b/>
                <w:bCs/>
                <w:color w:val="000000"/>
                <w:szCs w:val="21"/>
              </w:rPr>
              <w:t>日期</w:t>
            </w:r>
            <w:r>
              <w:rPr>
                <w:rFonts w:hint="eastAsia" w:hAnsi="等线" w:cs="Arial"/>
                <w:b/>
                <w:bCs/>
                <w:color w:val="000000"/>
                <w:szCs w:val="21"/>
              </w:rPr>
              <w:t>：</w:t>
            </w:r>
          </w:p>
        </w:tc>
        <w:tc>
          <w:tcPr>
            <w:tcW w:w="2823"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int="eastAsia" w:hAnsi="等线" w:eastAsia="等线" w:cs="Arial"/>
                <w:color w:val="000000"/>
                <w:szCs w:val="21"/>
                <w:lang w:eastAsia="zh-CN"/>
              </w:rPr>
            </w:pPr>
            <w:r>
              <w:rPr>
                <w:rFonts w:hint="eastAsia" w:hAnsi="等线" w:cs="Arial"/>
                <w:color w:val="000000"/>
                <w:szCs w:val="21"/>
                <w:lang w:eastAsia="zh-CN" w:bidi="ar"/>
              </w:rPr>
              <w:t xml:space="preserve">2023-03-25</w:t>
            </w:r>
          </w:p>
        </w:tc>
        <w:tc>
          <w:tcPr>
            <w:tcW w:w="1537"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b/>
                <w:bCs/>
                <w:color w:val="000000"/>
                <w:szCs w:val="21"/>
              </w:rPr>
            </w:pPr>
            <w:r>
              <w:rPr>
                <w:rFonts w:hint="eastAsia" w:hAnsi="等线" w:cs="Arial"/>
                <w:b/>
                <w:bCs/>
                <w:color w:val="000000"/>
                <w:szCs w:val="21"/>
              </w:rPr>
              <w:t>报告日期：</w:t>
            </w:r>
          </w:p>
        </w:tc>
        <w:tc>
          <w:tcPr>
            <w:tcW w:w="2754"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int="eastAsia" w:hAnsi="等线" w:eastAsia="等线" w:cs="Arial"/>
                <w:color w:val="000000"/>
                <w:szCs w:val="21"/>
                <w:lang w:eastAsia="zh-CN"/>
              </w:rPr>
            </w:pPr>
            <w:r>
              <w:rPr>
                <w:rFonts w:hint="eastAsia" w:hAnsi="等线" w:cs="Arial"/>
                <w:color w:val="000000"/>
                <w:szCs w:val="21"/>
                <w:lang w:eastAsia="zh-CN" w:bidi="ar"/>
              </w:rPr>
              <w:t xml:space="preserve">2023-07-31</w:t>
            </w:r>
          </w:p>
        </w:tc>
      </w:tr>
      <w:tr>
        <w:tblPrEx>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CellMar>
            <w:top w:w="0" w:type="dxa"/>
            <w:left w:w="108" w:type="dxa"/>
            <w:bottom w:w="0" w:type="dxa"/>
            <w:right w:w="108" w:type="dxa"/>
          </w:tblCellMar>
        </w:tblPrEx>
        <w:trPr>
          <w:jc w:val="center"/>
        </w:trPr>
        <w:tc>
          <w:tcPr>
            <w:tcW w:w="1696" w:type="dxa"/>
            <w:tcBorders>
              <w:top w:val="single" w:color="4684D3" w:sz="8" w:space="0"/>
              <w:left w:val="single" w:color="FEFEFE" w:sz="8" w:space="0"/>
              <w:bottom w:val="nil"/>
              <w:right w:val="single" w:color="FEFEFE" w:sz="8" w:space="0"/>
            </w:tcBorders>
            <w:shd w:val="clear" w:color="auto" w:fill="FEFEFE"/>
            <w:vAlign w:val="center"/>
          </w:tcPr>
          <w:p>
            <w:pPr>
              <w:spacing w:line="20" w:lineRule="exact"/>
            </w:pPr>
          </w:p>
        </w:tc>
        <w:tc>
          <w:tcPr>
            <w:tcW w:w="2823" w:type="dxa"/>
            <w:tcBorders>
              <w:top w:val="single" w:color="4684D3" w:sz="8" w:space="0"/>
              <w:left w:val="single" w:color="FEFEFE" w:sz="8" w:space="0"/>
              <w:bottom w:val="nil"/>
              <w:right w:val="single" w:color="FEFEFE" w:sz="8" w:space="0"/>
            </w:tcBorders>
            <w:shd w:val="clear" w:color="auto" w:fill="FEFEFE"/>
            <w:vAlign w:val="center"/>
          </w:tcPr>
          <w:p>
            <w:pPr>
              <w:spacing w:line="20" w:lineRule="exact"/>
            </w:pPr>
          </w:p>
        </w:tc>
        <w:tc>
          <w:tcPr>
            <w:tcW w:w="1537" w:type="dxa"/>
            <w:tcBorders>
              <w:top w:val="single" w:color="4684D3" w:sz="8" w:space="0"/>
              <w:left w:val="single" w:color="FEFEFE" w:sz="8" w:space="0"/>
              <w:bottom w:val="nil"/>
              <w:right w:val="single" w:color="FEFEFE" w:sz="8" w:space="0"/>
            </w:tcBorders>
            <w:shd w:val="clear" w:color="auto" w:fill="FEFEFE"/>
            <w:vAlign w:val="center"/>
          </w:tcPr>
          <w:p>
            <w:pPr>
              <w:spacing w:line="20" w:lineRule="exact"/>
            </w:pPr>
          </w:p>
        </w:tc>
        <w:tc>
          <w:tcPr>
            <w:tcW w:w="2754" w:type="dxa"/>
            <w:tcBorders>
              <w:top w:val="single" w:color="4684D3" w:sz="8" w:space="0"/>
              <w:left w:val="single" w:color="FEFEFE" w:sz="8" w:space="0"/>
              <w:bottom w:val="nil"/>
              <w:right w:val="single" w:color="FEFEFE" w:sz="8" w:space="0"/>
            </w:tcBorders>
            <w:shd w:val="clear" w:color="auto" w:fill="FEFEFE"/>
            <w:vAlign w:val="center"/>
          </w:tcPr>
          <w:p>
            <w:pPr>
              <w:spacing w:line="20" w:lineRule="exact"/>
            </w:pPr>
          </w:p>
        </w:tc>
      </w:tr>
      <w:tr>
        <w:tblPrEx>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CellMar>
            <w:top w:w="0" w:type="dxa"/>
            <w:left w:w="108" w:type="dxa"/>
            <w:bottom w:w="0" w:type="dxa"/>
            <w:right w:w="108" w:type="dxa"/>
          </w:tblCellMar>
        </w:tblPrEx>
        <w:trPr>
          <w:trHeight w:val="510" w:hRule="atLeast"/>
          <w:jc w:val="center"/>
        </w:trPr>
        <w:tc>
          <w:tcPr>
            <w:tcW w:w="1696" w:type="dxa"/>
            <w:tcBorders>
              <w:top w:val="nil"/>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b/>
                <w:bCs/>
                <w:color w:val="000000"/>
                <w:szCs w:val="21"/>
              </w:rPr>
            </w:pPr>
            <w:r>
              <w:rPr>
                <w:rFonts w:hAnsi="等线" w:cs="Arial"/>
                <w:b/>
                <w:bCs/>
                <w:color w:val="000000"/>
                <w:szCs w:val="21"/>
              </w:rPr>
              <w:t>肿瘤类型</w:t>
            </w:r>
            <w:r>
              <w:rPr>
                <w:rFonts w:hint="eastAsia" w:hAnsi="等线" w:cs="Arial"/>
                <w:b/>
                <w:bCs/>
                <w:color w:val="000000"/>
                <w:szCs w:val="21"/>
              </w:rPr>
              <w:t>：</w:t>
            </w:r>
          </w:p>
        </w:tc>
        <w:tc>
          <w:tcPr>
            <w:tcW w:w="7114" w:type="dxa"/>
            <w:gridSpan w:val="3"/>
            <w:tcBorders>
              <w:top w:val="nil"/>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int="eastAsia" w:hAnsi="等线" w:eastAsia="等线"/>
                <w:color w:val="000000"/>
                <w:szCs w:val="21"/>
                <w:lang w:eastAsia="zh-CN"/>
              </w:rPr>
            </w:pPr>
            <w:r>
              <w:rPr>
                <w:rFonts w:hint="eastAsia" w:hAnsi="等线"/>
                <w:szCs w:val="21"/>
                <w:lang w:eastAsia="zh-CN" w:bidi="ar"/>
              </w:rPr>
              <w:t xml:space="preserve">/</w:t>
            </w:r>
          </w:p>
        </w:tc>
      </w:tr>
      <w:tr>
        <w:tblPrEx>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CellMar>
            <w:top w:w="0" w:type="dxa"/>
            <w:left w:w="108" w:type="dxa"/>
            <w:bottom w:w="0" w:type="dxa"/>
            <w:right w:w="108" w:type="dxa"/>
          </w:tblCellMar>
        </w:tblPrEx>
        <w:trPr>
          <w:trHeight w:val="510" w:hRule="atLeast"/>
          <w:jc w:val="center"/>
        </w:trPr>
        <w:tc>
          <w:tcPr>
            <w:tcW w:w="1696"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b/>
                <w:bCs/>
                <w:color w:val="000000"/>
                <w:szCs w:val="21"/>
              </w:rPr>
            </w:pPr>
            <w:r>
              <w:rPr>
                <w:rFonts w:hAnsi="等线" w:cs="Arial"/>
                <w:b/>
                <w:bCs/>
                <w:color w:val="000000"/>
                <w:szCs w:val="21"/>
              </w:rPr>
              <w:t>病理诊断</w:t>
            </w:r>
            <w:r>
              <w:rPr>
                <w:rFonts w:hint="eastAsia" w:hAnsi="等线" w:cs="Arial"/>
                <w:b/>
                <w:bCs/>
                <w:color w:val="000000"/>
                <w:szCs w:val="21"/>
              </w:rPr>
              <w:t>：</w:t>
            </w:r>
          </w:p>
        </w:tc>
        <w:tc>
          <w:tcPr>
            <w:tcW w:w="7114" w:type="dxa"/>
            <w:gridSpan w:val="3"/>
            <w:tcBorders>
              <w:top w:val="single" w:color="4684D3" w:sz="8" w:space="0"/>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hAnsi="等线" w:eastAsia="等线" w:cs="Arial"/>
                <w:color w:val="000000"/>
                <w:szCs w:val="21"/>
                <w:lang w:eastAsia="zh-CN"/>
              </w:rPr>
            </w:pPr>
            <w:r>
              <w:rPr>
                <w:rFonts w:hint="eastAsia" w:hAnsi="等线" w:cs="Arial"/>
                <w:szCs w:val="21"/>
                <w:lang w:eastAsia="zh-CN" w:bidi="ar"/>
              </w:rPr>
              <w:t xml:space="preserve">结肠癌</w:t>
            </w:r>
          </w:p>
        </w:tc>
      </w:tr>
    </w:tbl>
    <w:p>
      <w:pPr>
        <w:rPr>
          <w:rFonts w:hint="eastAsia"/>
        </w:rPr>
      </w:pPr>
      <w:bookmarkStart w:id="11" w:name="_Toc89103140"/>
    </w:p>
    <w:p>
      <w:pPr>
        <w:spacing w:before="340" w:line="360" w:lineRule="auto"/>
        <w:jc w:val="left"/>
        <w:outlineLvl w:val="1"/>
        <w:rPr>
          <w:rFonts w:hAnsi="等线" w:cs="Arial"/>
          <w:b/>
          <w:bCs/>
          <w:color w:val="00B0F0"/>
          <w:sz w:val="28"/>
          <w:szCs w:val="28"/>
        </w:rPr>
      </w:pPr>
      <w:r>
        <w:rPr>
          <w:rFonts w:hint="eastAsia" w:hAnsi="等线" w:cs="Arial"/>
          <w:b/>
          <w:bCs/>
          <w:color w:val="00B0F0"/>
          <w:sz w:val="28"/>
          <w:szCs w:val="28"/>
        </w:rPr>
        <w:drawing>
          <wp:anchor distT="0" distB="0" distL="114300" distR="114300" simplePos="0" relativeHeight="251664384" behindDoc="0" locked="0" layoutInCell="1" allowOverlap="1">
            <wp:simplePos x="0" y="0"/>
            <wp:positionH relativeFrom="column">
              <wp:posOffset>99695</wp:posOffset>
            </wp:positionH>
            <wp:positionV relativeFrom="paragraph">
              <wp:posOffset>255905</wp:posOffset>
            </wp:positionV>
            <wp:extent cx="255270" cy="277495"/>
            <wp:effectExtent l="0" t="0" r="3810" b="12065"/>
            <wp:wrapNone/>
            <wp:docPr id="1008" name="图片 6" descr="资源 1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资源 1129"/>
                    <pic:cNvPicPr>
                      <a:picLocks noChangeAspect="1"/>
                    </pic:cNvPicPr>
                  </pic:nvPicPr>
                  <pic:blipFill>
                    <a:blip r:embed="rId11"/>
                    <a:stretch>
                      <a:fillRect/>
                    </a:stretch>
                  </pic:blipFill>
                  <pic:spPr>
                    <a:xfrm>
                      <a:off x="0" y="0"/>
                      <a:ext cx="255270" cy="277495"/>
                    </a:xfrm>
                    <a:prstGeom prst="rect">
                      <a:avLst/>
                    </a:prstGeom>
                  </pic:spPr>
                </pic:pic>
              </a:graphicData>
            </a:graphic>
          </wp:anchor>
        </w:drawing>
      </w:r>
      <w:r>
        <w:rPr>
          <w:rFonts w:hint="eastAsia" w:hAnsi="等线" w:cs="Arial"/>
          <w:b/>
          <w:bCs/>
          <w:color w:val="00B0F0"/>
          <w:sz w:val="28"/>
          <w:szCs w:val="28"/>
        </w:rPr>
        <w:t xml:space="preserve">     </w:t>
      </w:r>
      <w:bookmarkStart w:id="12" w:name="检测项目内容"/>
      <w:bookmarkEnd w:id="12"/>
      <w:r>
        <w:rPr>
          <w:rFonts w:hint="eastAsia" w:hAnsi="等线" w:cs="Arial"/>
          <w:b/>
          <w:bCs/>
          <w:color w:val="00B0F0"/>
          <w:sz w:val="28"/>
          <w:szCs w:val="28"/>
        </w:rPr>
        <w:t>检测项目内容</w:t>
      </w:r>
      <w:bookmarkEnd w:id="11"/>
    </w:p>
    <w:tbl>
      <w:tblPr>
        <w:tblStyle w:val="47"/>
        <w:tblW w:w="8811" w:type="dxa"/>
        <w:jc w:val="center"/>
        <w:tblBorders>
          <w:top w:val="single" w:color="5B9BD5" w:sz="4" w:space="0"/>
          <w:left w:val="none" w:color="auto" w:sz="0" w:space="0"/>
          <w:bottom w:val="single" w:color="5B9BD5" w:sz="4" w:space="0"/>
          <w:right w:val="none" w:color="auto" w:sz="0" w:space="0"/>
          <w:insideH w:val="single" w:color="5B9BD5" w:sz="4" w:space="0"/>
          <w:insideV w:val="none" w:color="auto" w:sz="0" w:space="0"/>
        </w:tblBorders>
        <w:tblLayout w:type="fixed"/>
        <w:tblCellMar>
          <w:top w:w="0" w:type="dxa"/>
          <w:left w:w="0" w:type="dxa"/>
          <w:bottom w:w="0" w:type="dxa"/>
          <w:right w:w="0" w:type="dxa"/>
        </w:tblCellMar>
      </w:tblPr>
      <w:tblGrid>
        <w:gridCol w:w="2410"/>
        <w:gridCol w:w="6401"/>
      </w:tblGrid>
      <w:tr>
        <w:tblPrEx>
          <w:tblBorders>
            <w:top w:val="single" w:color="5B9BD5" w:sz="4" w:space="0"/>
            <w:left w:val="none" w:color="auto" w:sz="0" w:space="0"/>
            <w:bottom w:val="single" w:color="5B9BD5" w:sz="4" w:space="0"/>
            <w:right w:val="none" w:color="auto" w:sz="0" w:space="0"/>
            <w:insideH w:val="single" w:color="5B9BD5" w:sz="4" w:space="0"/>
            <w:insideV w:val="none" w:color="auto" w:sz="0" w:space="0"/>
          </w:tblBorders>
          <w:tblCellMar>
            <w:top w:w="0" w:type="dxa"/>
            <w:left w:w="0" w:type="dxa"/>
            <w:bottom w:w="0" w:type="dxa"/>
            <w:right w:w="0" w:type="dxa"/>
          </w:tblCellMar>
        </w:tblPrEx>
        <w:trPr>
          <w:trHeight w:val="23" w:hRule="atLeast"/>
          <w:jc w:val="center"/>
        </w:trPr>
        <w:tc>
          <w:tcPr>
            <w:tcW w:w="8811" w:type="dxa"/>
            <w:gridSpan w:val="2"/>
            <w:tcBorders>
              <w:top w:val="single" w:color="4684D3" w:sz="8" w:space="0"/>
              <w:left w:val="nil"/>
              <w:bottom w:val="nil"/>
              <w:right w:val="nil"/>
            </w:tcBorders>
            <w:shd w:val="clear" w:color="auto" w:fill="FEFEFE"/>
            <w:vAlign w:val="center"/>
          </w:tcPr>
          <w:p>
            <w:pPr>
              <w:autoSpaceDE/>
              <w:autoSpaceDN/>
              <w:spacing w:line="20" w:lineRule="exact"/>
              <w:rPr>
                <w:rFonts w:cstheme="minorBidi"/>
                <w:lang w:eastAsia="en-US"/>
              </w:rPr>
            </w:pPr>
          </w:p>
        </w:tc>
      </w:tr>
      <w:tr>
        <w:tblPrEx>
          <w:tblBorders>
            <w:top w:val="single" w:color="5B9BD5" w:sz="4" w:space="0"/>
            <w:left w:val="none" w:color="auto" w:sz="0" w:space="0"/>
            <w:bottom w:val="single" w:color="5B9BD5" w:sz="4" w:space="0"/>
            <w:right w:val="none" w:color="auto" w:sz="0" w:space="0"/>
            <w:insideH w:val="single" w:color="5B9BD5" w:sz="4" w:space="0"/>
            <w:insideV w:val="none" w:color="auto" w:sz="0" w:space="0"/>
          </w:tblBorders>
          <w:tblCellMar>
            <w:top w:w="0" w:type="dxa"/>
            <w:left w:w="0" w:type="dxa"/>
            <w:bottom w:w="0" w:type="dxa"/>
            <w:right w:w="0" w:type="dxa"/>
          </w:tblCellMar>
        </w:tblPrEx>
        <w:trPr>
          <w:trHeight w:val="1134" w:hRule="atLeast"/>
          <w:jc w:val="center"/>
        </w:trPr>
        <w:tc>
          <w:tcPr>
            <w:tcW w:w="2410" w:type="dxa"/>
            <w:tcBorders>
              <w:top w:val="nil"/>
              <w:left w:val="nil"/>
              <w:bottom w:val="single" w:color="4684D3" w:sz="8" w:space="0"/>
              <w:right w:val="single" w:color="FEFEFE" w:sz="8" w:space="0"/>
            </w:tcBorders>
            <w:shd w:val="clear" w:color="auto" w:fill="FEFEFE"/>
            <w:vAlign w:val="center"/>
          </w:tcPr>
          <w:p>
            <w:pPr>
              <w:autoSpaceDE w:val="0"/>
              <w:autoSpaceDN w:val="0"/>
              <w:jc w:val="center"/>
              <w:rPr>
                <w:rFonts w:hAnsi="等线" w:cstheme="minorBidi"/>
                <w:color w:val="000000"/>
                <w:lang w:eastAsia="en-US"/>
              </w:rPr>
            </w:pPr>
            <w:r>
              <w:rPr>
                <w:rFonts w:hAnsi="等线" w:cstheme="minorBidi"/>
                <w:color w:val="000000"/>
                <w:lang w:eastAsia="en-US"/>
              </w:rPr>
              <w:t>靶向用药检测</w:t>
            </w:r>
          </w:p>
        </w:tc>
        <w:tc>
          <w:tcPr>
            <w:tcW w:w="6401" w:type="dxa"/>
            <w:tcBorders>
              <w:top w:val="nil"/>
              <w:left w:val="single" w:color="FEFEFE" w:sz="8" w:space="0"/>
              <w:bottom w:val="single" w:color="4684D3" w:sz="8" w:space="0"/>
              <w:right w:val="nil"/>
            </w:tcBorders>
            <w:shd w:val="clear" w:color="auto" w:fill="FEFEFE"/>
            <w:vAlign w:val="center"/>
          </w:tcPr>
          <w:p>
            <w:pPr>
              <w:keepNext w:val="0"/>
              <w:keepLines w:val="0"/>
              <w:pageBreakBefore w:val="0"/>
              <w:widowControl w:val="0"/>
              <w:kinsoku/>
              <w:wordWrap/>
              <w:overflowPunct/>
              <w:topLinePunct w:val="0"/>
              <w:autoSpaceDE w:val="0"/>
              <w:autoSpaceDN w:val="0"/>
              <w:bidi w:val="0"/>
              <w:adjustRightInd/>
              <w:snapToGrid/>
              <w:spacing w:line="300" w:lineRule="auto"/>
              <w:ind w:left="210" w:leftChars="100" w:right="210" w:rightChars="100"/>
              <w:textAlignment w:val="auto"/>
              <w:rPr>
                <w:rFonts w:hAnsi="等线" w:cstheme="minorBidi"/>
                <w:color w:val="000000"/>
                <w:lang w:eastAsia="en-US"/>
              </w:rPr>
            </w:pPr>
            <w:r>
              <w:rPr>
                <w:rFonts w:hAnsi="等线" w:cstheme="minorBidi"/>
                <w:color w:val="000000"/>
                <w:lang w:eastAsia="en-US"/>
              </w:rPr>
              <w:t>本产品采用目标区域捕获和高通量测序技术进行检测。</w:t>
            </w:r>
          </w:p>
          <w:p>
            <w:pPr>
              <w:keepNext w:val="0"/>
              <w:keepLines w:val="0"/>
              <w:pageBreakBefore w:val="0"/>
              <w:widowControl w:val="0"/>
              <w:kinsoku/>
              <w:wordWrap/>
              <w:overflowPunct/>
              <w:topLinePunct w:val="0"/>
              <w:autoSpaceDE w:val="0"/>
              <w:autoSpaceDN w:val="0"/>
              <w:bidi w:val="0"/>
              <w:adjustRightInd/>
              <w:snapToGrid/>
              <w:spacing w:line="300" w:lineRule="auto"/>
              <w:ind w:left="210" w:leftChars="100" w:right="210" w:rightChars="100"/>
              <w:textAlignment w:val="auto"/>
              <w:rPr>
                <w:rFonts w:hAnsi="等线" w:cstheme="minorBidi"/>
                <w:color w:val="000000"/>
                <w:lang w:eastAsia="en-US"/>
              </w:rPr>
            </w:pPr>
            <w:r>
              <w:rPr>
                <w:rFonts w:hAnsi="等线" w:cstheme="minorBidi"/>
                <w:color w:val="000000"/>
                <w:lang w:eastAsia="en-US"/>
              </w:rPr>
              <w:t>本产品包含</w:t>
            </w:r>
            <w:r>
              <w:rPr>
                <w:rFonts w:hint="eastAsia" w:hAnsi="等线" w:cstheme="minorBidi"/>
                <w:color w:val="000000"/>
                <w:lang w:eastAsia="en-US"/>
              </w:rPr>
              <w:t xml:space="preserve"> </w:t>
            </w:r>
            <w:r>
              <w:rPr>
                <w:rFonts w:hint="eastAsia" w:hAnsi="等线" w:cstheme="minorBidi"/>
                <w:color w:val="000000"/>
                <w:highlight w:val="none"/>
                <w:lang w:val="en-US" w:eastAsia="zh-CN"/>
              </w:rPr>
              <w:t>57</w:t>
            </w:r>
            <w:r>
              <w:rPr>
                <w:rFonts w:hAnsi="等线" w:cstheme="minorBidi"/>
                <w:color w:val="000000"/>
                <w:lang w:eastAsia="en-US"/>
              </w:rPr>
              <w:t xml:space="preserve"> 个靶向用药基因，涵盖</w:t>
            </w:r>
            <w:r>
              <w:rPr>
                <w:rFonts w:hint="eastAsia" w:hAnsi="等线" w:cstheme="minorBidi"/>
                <w:color w:val="000000"/>
                <w:lang w:val="en-US" w:eastAsia="zh-CN"/>
              </w:rPr>
              <w:t>结肠癌和直肠癌</w:t>
            </w:r>
            <w:r>
              <w:rPr>
                <w:rFonts w:hAnsi="等线" w:cstheme="minorBidi"/>
                <w:color w:val="000000"/>
                <w:lang w:eastAsia="en-US"/>
              </w:rPr>
              <w:t>的靶向治疗。检测内容包括点突变、插入/缺失</w:t>
            </w:r>
            <w:r>
              <w:rPr>
                <w:rFonts w:hint="eastAsia" w:hAnsi="等线" w:cstheme="minorBidi"/>
                <w:color w:val="000000"/>
                <w:lang w:eastAsia="en-US"/>
              </w:rPr>
              <w:t>，</w:t>
            </w:r>
            <w:r>
              <w:rPr>
                <w:rFonts w:hAnsi="等线" w:cstheme="minorBidi"/>
                <w:color w:val="000000"/>
                <w:lang w:eastAsia="en-US"/>
              </w:rPr>
              <w:t>拷贝数变异和基因融合/重排，可预测相关靶向药物的疗效。</w:t>
            </w:r>
          </w:p>
        </w:tc>
      </w:tr>
      <w:tr>
        <w:tblPrEx>
          <w:tblBorders>
            <w:top w:val="single" w:color="5B9BD5" w:sz="4" w:space="0"/>
            <w:left w:val="none" w:color="auto" w:sz="0" w:space="0"/>
            <w:bottom w:val="single" w:color="5B9BD5" w:sz="4" w:space="0"/>
            <w:right w:val="none" w:color="auto" w:sz="0" w:space="0"/>
            <w:insideH w:val="single" w:color="5B9BD5" w:sz="4" w:space="0"/>
            <w:insideV w:val="none" w:color="auto" w:sz="0" w:space="0"/>
          </w:tblBorders>
          <w:tblCellMar>
            <w:top w:w="0" w:type="dxa"/>
            <w:left w:w="0" w:type="dxa"/>
            <w:bottom w:w="0" w:type="dxa"/>
            <w:right w:w="0" w:type="dxa"/>
          </w:tblCellMar>
        </w:tblPrEx>
        <w:trPr>
          <w:trHeight w:val="1134" w:hRule="atLeast"/>
          <w:jc w:val="center"/>
        </w:trPr>
        <w:tc>
          <w:tcPr>
            <w:tcW w:w="2410" w:type="dxa"/>
            <w:tcBorders>
              <w:top w:val="single" w:color="4684D3" w:sz="8" w:space="0"/>
              <w:left w:val="nil"/>
              <w:bottom w:val="single" w:color="4684D3" w:sz="8" w:space="0"/>
              <w:right w:val="single" w:color="FEFEFE" w:sz="8" w:space="0"/>
            </w:tcBorders>
            <w:shd w:val="clear" w:color="auto" w:fill="FEFEFE"/>
            <w:vAlign w:val="center"/>
          </w:tcPr>
          <w:p>
            <w:pPr>
              <w:autoSpaceDE w:val="0"/>
              <w:autoSpaceDN w:val="0"/>
              <w:jc w:val="center"/>
              <w:rPr>
                <w:rFonts w:hAnsi="等线" w:cstheme="minorBidi"/>
                <w:color w:val="000000"/>
                <w:lang w:eastAsia="en-US"/>
              </w:rPr>
            </w:pPr>
            <w:r>
              <w:rPr>
                <w:rFonts w:hint="eastAsia" w:hAnsi="等线" w:cstheme="minorBidi"/>
                <w:color w:val="000000"/>
                <w:lang w:eastAsia="en-US"/>
              </w:rPr>
              <w:t>免疫治疗相关</w:t>
            </w:r>
            <w:r>
              <w:rPr>
                <w:rFonts w:hint="eastAsia" w:hAnsi="等线" w:cstheme="minorBidi"/>
                <w:color w:val="000000"/>
                <w:lang w:eastAsia="en-US"/>
              </w:rPr>
              <w:br w:type="textWrapping"/>
            </w:r>
            <w:r>
              <w:rPr>
                <w:rFonts w:hint="eastAsia" w:hAnsi="等线" w:cstheme="minorBidi"/>
                <w:color w:val="000000"/>
                <w:lang w:eastAsia="en-US"/>
              </w:rPr>
              <w:t>Biomarker检测</w:t>
            </w:r>
          </w:p>
        </w:tc>
        <w:tc>
          <w:tcPr>
            <w:tcW w:w="6401" w:type="dxa"/>
            <w:tcBorders>
              <w:top w:val="single" w:color="4684D3" w:sz="8" w:space="0"/>
              <w:left w:val="single" w:color="FEFEFE" w:sz="8" w:space="0"/>
              <w:bottom w:val="single" w:color="4684D3" w:sz="8" w:space="0"/>
              <w:right w:val="nil"/>
            </w:tcBorders>
            <w:shd w:val="clear" w:color="auto" w:fill="FEFEFE"/>
            <w:vAlign w:val="center"/>
          </w:tcPr>
          <w:p>
            <w:pPr>
              <w:keepNext w:val="0"/>
              <w:keepLines w:val="0"/>
              <w:pageBreakBefore w:val="0"/>
              <w:widowControl w:val="0"/>
              <w:kinsoku/>
              <w:wordWrap/>
              <w:overflowPunct/>
              <w:topLinePunct w:val="0"/>
              <w:autoSpaceDE w:val="0"/>
              <w:autoSpaceDN w:val="0"/>
              <w:bidi w:val="0"/>
              <w:adjustRightInd/>
              <w:snapToGrid/>
              <w:spacing w:line="300" w:lineRule="auto"/>
              <w:ind w:left="210" w:leftChars="100" w:right="210" w:rightChars="100"/>
              <w:textAlignment w:val="auto"/>
              <w:rPr>
                <w:rFonts w:hAnsi="等线" w:cstheme="minorBidi"/>
                <w:color w:val="000000"/>
                <w:lang w:eastAsia="en-US"/>
              </w:rPr>
            </w:pPr>
            <w:r>
              <w:rPr>
                <w:rFonts w:hAnsi="等线" w:cstheme="minorBidi"/>
                <w:color w:val="000000"/>
                <w:lang w:eastAsia="en-US"/>
              </w:rPr>
              <w:t>本产品分析微卫星不稳定性</w:t>
            </w:r>
            <w:r>
              <w:rPr>
                <w:rFonts w:hint="eastAsia" w:hAnsi="等线" w:cstheme="minorBidi"/>
                <w:color w:val="000000"/>
                <w:lang w:eastAsia="en-US"/>
              </w:rPr>
              <w:t>（M</w:t>
            </w:r>
            <w:r>
              <w:rPr>
                <w:rFonts w:hAnsi="等线" w:cstheme="minorBidi"/>
                <w:color w:val="000000"/>
                <w:lang w:eastAsia="en-US"/>
              </w:rPr>
              <w:t>SI</w:t>
            </w:r>
            <w:r>
              <w:rPr>
                <w:rFonts w:hint="eastAsia" w:hAnsi="等线" w:cstheme="minorBidi"/>
                <w:color w:val="000000"/>
                <w:lang w:eastAsia="en-US"/>
              </w:rPr>
              <w:t>），同时包含错配修复系统（M</w:t>
            </w:r>
            <w:r>
              <w:rPr>
                <w:rFonts w:hAnsi="等线" w:cstheme="minorBidi"/>
                <w:color w:val="000000"/>
                <w:lang w:eastAsia="en-US"/>
              </w:rPr>
              <w:t>MR</w:t>
            </w:r>
            <w:r>
              <w:rPr>
                <w:rFonts w:hint="eastAsia" w:hAnsi="等线" w:cstheme="minorBidi"/>
                <w:color w:val="000000"/>
                <w:lang w:eastAsia="en-US"/>
              </w:rPr>
              <w:t>）基因</w:t>
            </w:r>
            <w:r>
              <w:rPr>
                <w:rFonts w:hAnsi="等线" w:cstheme="minorBidi"/>
                <w:color w:val="000000"/>
                <w:lang w:eastAsia="en-US"/>
              </w:rPr>
              <w:t>，</w:t>
            </w:r>
            <w:r>
              <w:rPr>
                <w:rFonts w:hint="eastAsia" w:hAnsi="等线" w:cstheme="minorBidi"/>
                <w:color w:val="000000"/>
                <w:lang w:eastAsia="en-US"/>
              </w:rPr>
              <w:t>可</w:t>
            </w:r>
            <w:r>
              <w:rPr>
                <w:rFonts w:hAnsi="等线" w:cstheme="minorBidi"/>
                <w:color w:val="000000"/>
                <w:lang w:eastAsia="en-US"/>
              </w:rPr>
              <w:t>预测免疫治疗疗效。</w:t>
            </w:r>
          </w:p>
        </w:tc>
      </w:tr>
      <w:tr>
        <w:tblPrEx>
          <w:tblBorders>
            <w:top w:val="single" w:color="5B9BD5" w:sz="4" w:space="0"/>
            <w:left w:val="none" w:color="auto" w:sz="0" w:space="0"/>
            <w:bottom w:val="single" w:color="5B9BD5" w:sz="4" w:space="0"/>
            <w:right w:val="none" w:color="auto" w:sz="0" w:space="0"/>
            <w:insideH w:val="single" w:color="5B9BD5" w:sz="4" w:space="0"/>
            <w:insideV w:val="none" w:color="auto" w:sz="0" w:space="0"/>
          </w:tblBorders>
          <w:tblCellMar>
            <w:top w:w="0" w:type="dxa"/>
            <w:left w:w="0" w:type="dxa"/>
            <w:bottom w:w="0" w:type="dxa"/>
            <w:right w:w="0" w:type="dxa"/>
          </w:tblCellMar>
        </w:tblPrEx>
        <w:trPr>
          <w:trHeight w:val="1134" w:hRule="atLeast"/>
          <w:jc w:val="center"/>
        </w:trPr>
        <w:tc>
          <w:tcPr>
            <w:tcW w:w="2410" w:type="dxa"/>
            <w:tcBorders>
              <w:top w:val="single" w:color="4684D3" w:sz="8" w:space="0"/>
              <w:left w:val="nil"/>
              <w:bottom w:val="single" w:color="4684D3" w:sz="8" w:space="0"/>
              <w:right w:val="single" w:color="FEFEFE" w:sz="8" w:space="0"/>
            </w:tcBorders>
            <w:shd w:val="clear" w:color="auto" w:fill="FEFEFE"/>
            <w:vAlign w:val="center"/>
          </w:tcPr>
          <w:p>
            <w:pPr>
              <w:autoSpaceDE w:val="0"/>
              <w:autoSpaceDN w:val="0"/>
              <w:jc w:val="center"/>
              <w:rPr>
                <w:rFonts w:hAnsi="等线" w:cstheme="minorBidi"/>
                <w:color w:val="000000"/>
                <w:lang w:eastAsia="en-US"/>
              </w:rPr>
            </w:pPr>
            <w:r>
              <w:rPr>
                <w:rFonts w:hint="eastAsia" w:hAnsi="等线" w:cstheme="minorBidi"/>
                <w:color w:val="000000"/>
                <w:lang w:eastAsia="en-US"/>
              </w:rPr>
              <w:t>化疗用药多态性</w:t>
            </w:r>
            <w:r>
              <w:rPr>
                <w:rFonts w:hint="eastAsia" w:hAnsi="等线" w:cstheme="minorBidi"/>
                <w:color w:val="000000"/>
                <w:lang w:eastAsia="en-US"/>
              </w:rPr>
              <w:br w:type="textWrapping"/>
            </w:r>
            <w:r>
              <w:rPr>
                <w:rFonts w:hint="eastAsia" w:hAnsi="等线" w:cstheme="minorBidi"/>
                <w:color w:val="000000"/>
                <w:lang w:eastAsia="en-US"/>
              </w:rPr>
              <w:t>位点</w:t>
            </w:r>
            <w:r>
              <w:rPr>
                <w:rFonts w:hAnsi="等线" w:cstheme="minorBidi"/>
                <w:color w:val="000000"/>
                <w:lang w:eastAsia="en-US"/>
              </w:rPr>
              <w:t>检测</w:t>
            </w:r>
          </w:p>
        </w:tc>
        <w:tc>
          <w:tcPr>
            <w:tcW w:w="6401" w:type="dxa"/>
            <w:tcBorders>
              <w:top w:val="single" w:color="4684D3" w:sz="8" w:space="0"/>
              <w:left w:val="single" w:color="FEFEFE" w:sz="8" w:space="0"/>
              <w:bottom w:val="single" w:color="4684D3" w:sz="8" w:space="0"/>
              <w:right w:val="nil"/>
            </w:tcBorders>
            <w:shd w:val="clear" w:color="auto" w:fill="FEFEFE"/>
            <w:vAlign w:val="center"/>
          </w:tcPr>
          <w:p>
            <w:pPr>
              <w:keepNext w:val="0"/>
              <w:keepLines w:val="0"/>
              <w:pageBreakBefore w:val="0"/>
              <w:widowControl w:val="0"/>
              <w:kinsoku/>
              <w:wordWrap/>
              <w:overflowPunct/>
              <w:topLinePunct w:val="0"/>
              <w:autoSpaceDE w:val="0"/>
              <w:autoSpaceDN w:val="0"/>
              <w:bidi w:val="0"/>
              <w:adjustRightInd/>
              <w:snapToGrid/>
              <w:spacing w:line="300" w:lineRule="auto"/>
              <w:ind w:left="210" w:leftChars="100" w:right="210" w:rightChars="100"/>
              <w:textAlignment w:val="auto"/>
              <w:rPr>
                <w:rFonts w:hAnsi="等线" w:cstheme="minorBidi"/>
                <w:color w:val="000000"/>
                <w:lang w:eastAsia="en-US"/>
              </w:rPr>
            </w:pPr>
            <w:r>
              <w:rPr>
                <w:rFonts w:hAnsi="等线" w:cstheme="minorBidi"/>
                <w:color w:val="000000"/>
                <w:lang w:eastAsia="en-US"/>
              </w:rPr>
              <w:t xml:space="preserve">本产品包含 </w:t>
            </w:r>
            <w:r>
              <w:rPr>
                <w:rFonts w:hint="eastAsia" w:hAnsi="等线" w:cstheme="minorBidi"/>
                <w:color w:val="000000"/>
                <w:lang w:val="en-US" w:eastAsia="zh-CN"/>
              </w:rPr>
              <w:t>19</w:t>
            </w:r>
            <w:r>
              <w:rPr>
                <w:rFonts w:hAnsi="等线" w:cstheme="minorBidi"/>
                <w:color w:val="000000"/>
                <w:lang w:eastAsia="en-US"/>
              </w:rPr>
              <w:t xml:space="preserve"> 个化疗基因 2</w:t>
            </w:r>
            <w:r>
              <w:rPr>
                <w:rFonts w:hint="eastAsia" w:hAnsi="等线" w:cstheme="minorBidi"/>
                <w:color w:val="000000"/>
                <w:lang w:val="en-US" w:eastAsia="zh-CN"/>
              </w:rPr>
              <w:t>9</w:t>
            </w:r>
            <w:r>
              <w:rPr>
                <w:rFonts w:hAnsi="等线" w:cstheme="minorBidi"/>
                <w:color w:val="000000"/>
                <w:lang w:eastAsia="en-US"/>
              </w:rPr>
              <w:t xml:space="preserve"> 个位点，</w:t>
            </w:r>
            <w:r>
              <w:rPr>
                <w:rFonts w:hint="eastAsia" w:hAnsi="等线" w:cstheme="minorBidi"/>
                <w:color w:val="000000"/>
                <w:lang w:eastAsia="en-US"/>
              </w:rPr>
              <w:t xml:space="preserve">可预测 </w:t>
            </w:r>
            <w:r>
              <w:rPr>
                <w:rFonts w:hAnsi="等线" w:cstheme="minorBidi"/>
                <w:color w:val="000000"/>
                <w:lang w:eastAsia="en-US"/>
              </w:rPr>
              <w:t>2</w:t>
            </w:r>
            <w:r>
              <w:rPr>
                <w:rFonts w:hint="eastAsia" w:hAnsi="等线" w:cstheme="minorBidi"/>
                <w:color w:val="000000"/>
                <w:lang w:val="en-US" w:eastAsia="zh-CN"/>
              </w:rPr>
              <w:t>2</w:t>
            </w:r>
            <w:r>
              <w:rPr>
                <w:rFonts w:hAnsi="等线" w:cstheme="minorBidi"/>
                <w:color w:val="000000"/>
                <w:lang w:eastAsia="en-US"/>
              </w:rPr>
              <w:t xml:space="preserve"> 种化疗药物的疗效和毒副作用。</w:t>
            </w:r>
          </w:p>
        </w:tc>
      </w:tr>
      <w:tr>
        <w:tblPrEx>
          <w:tblBorders>
            <w:top w:val="single" w:color="5B9BD5" w:sz="4" w:space="0"/>
            <w:left w:val="none" w:color="auto" w:sz="0" w:space="0"/>
            <w:bottom w:val="single" w:color="5B9BD5" w:sz="4" w:space="0"/>
            <w:right w:val="none" w:color="auto" w:sz="0" w:space="0"/>
            <w:insideH w:val="single" w:color="5B9BD5" w:sz="4" w:space="0"/>
            <w:insideV w:val="none" w:color="auto" w:sz="0" w:space="0"/>
          </w:tblBorders>
          <w:tblCellMar>
            <w:top w:w="0" w:type="dxa"/>
            <w:left w:w="0" w:type="dxa"/>
            <w:bottom w:w="0" w:type="dxa"/>
            <w:right w:w="0" w:type="dxa"/>
          </w:tblCellMar>
        </w:tblPrEx>
        <w:trPr>
          <w:trHeight w:val="1134" w:hRule="atLeast"/>
          <w:jc w:val="center"/>
        </w:trPr>
        <w:tc>
          <w:tcPr>
            <w:tcW w:w="2410" w:type="dxa"/>
            <w:tcBorders>
              <w:top w:val="single" w:color="4684D3" w:sz="8" w:space="0"/>
              <w:left w:val="nil"/>
              <w:bottom w:val="single" w:color="4684D3" w:sz="8" w:space="0"/>
              <w:right w:val="single" w:color="FEFEFE" w:sz="8" w:space="0"/>
            </w:tcBorders>
            <w:shd w:val="clear" w:color="auto" w:fill="FEFEFE"/>
            <w:vAlign w:val="center"/>
          </w:tcPr>
          <w:p>
            <w:pPr>
              <w:autoSpaceDE w:val="0"/>
              <w:autoSpaceDN w:val="0"/>
              <w:jc w:val="center"/>
              <w:rPr>
                <w:rFonts w:hint="eastAsia" w:hAnsi="等线" w:cstheme="minorBidi"/>
                <w:color w:val="000000"/>
                <w:lang w:eastAsia="en-US"/>
              </w:rPr>
            </w:pPr>
            <w:r>
              <w:rPr>
                <w:rFonts w:hAnsi="等线" w:cstheme="minorBidi"/>
                <w:color w:val="000000"/>
                <w:lang w:eastAsia="en-US"/>
              </w:rPr>
              <w:t>遗传性</w:t>
            </w:r>
            <w:r>
              <w:rPr>
                <w:rFonts w:hint="eastAsia" w:hAnsi="等线" w:cstheme="minorBidi"/>
                <w:color w:val="000000"/>
                <w:lang w:val="en-US" w:eastAsia="zh-CN"/>
              </w:rPr>
              <w:t>结直肠癌</w:t>
            </w:r>
            <w:r>
              <w:rPr>
                <w:rFonts w:hAnsi="等线" w:cstheme="minorBidi"/>
                <w:color w:val="000000"/>
                <w:lang w:eastAsia="en-US"/>
              </w:rPr>
              <w:t>基因检测</w:t>
            </w:r>
          </w:p>
        </w:tc>
        <w:tc>
          <w:tcPr>
            <w:tcW w:w="6401" w:type="dxa"/>
            <w:tcBorders>
              <w:top w:val="single" w:color="4684D3" w:sz="8" w:space="0"/>
              <w:left w:val="single" w:color="FEFEFE" w:sz="8" w:space="0"/>
              <w:bottom w:val="single" w:color="4684D3" w:sz="8" w:space="0"/>
              <w:right w:val="nil"/>
            </w:tcBorders>
            <w:shd w:val="clear" w:color="auto" w:fill="FEFEFE"/>
            <w:vAlign w:val="center"/>
          </w:tcPr>
          <w:p>
            <w:pPr>
              <w:keepNext w:val="0"/>
              <w:keepLines w:val="0"/>
              <w:pageBreakBefore w:val="0"/>
              <w:widowControl w:val="0"/>
              <w:kinsoku/>
              <w:wordWrap/>
              <w:overflowPunct/>
              <w:topLinePunct w:val="0"/>
              <w:autoSpaceDE w:val="0"/>
              <w:autoSpaceDN w:val="0"/>
              <w:bidi w:val="0"/>
              <w:adjustRightInd/>
              <w:snapToGrid/>
              <w:spacing w:line="300" w:lineRule="auto"/>
              <w:ind w:left="210" w:leftChars="100" w:right="210" w:rightChars="100"/>
              <w:textAlignment w:val="auto"/>
              <w:rPr>
                <w:rFonts w:hAnsi="等线" w:cstheme="minorBidi"/>
                <w:color w:val="000000"/>
                <w:lang w:eastAsia="en-US"/>
              </w:rPr>
            </w:pPr>
            <w:r>
              <w:rPr>
                <w:rFonts w:hAnsi="等线" w:cstheme="minorBidi"/>
                <w:color w:val="000000"/>
                <w:lang w:eastAsia="en-US"/>
              </w:rPr>
              <w:t>本产品包含</w:t>
            </w:r>
            <w:r>
              <w:rPr>
                <w:rFonts w:hint="eastAsia" w:hAnsi="等线" w:cstheme="minorBidi"/>
                <w:color w:val="000000"/>
                <w:lang w:val="en-US" w:eastAsia="zh-CN"/>
              </w:rPr>
              <w:t xml:space="preserve"> 11 个</w:t>
            </w:r>
            <w:r>
              <w:rPr>
                <w:rFonts w:hAnsi="等线" w:cstheme="minorBidi"/>
                <w:color w:val="000000"/>
                <w:lang w:eastAsia="en-US"/>
              </w:rPr>
              <w:t>遗传性</w:t>
            </w:r>
            <w:r>
              <w:rPr>
                <w:rFonts w:hint="eastAsia" w:hAnsi="等线" w:cstheme="minorBidi"/>
                <w:color w:val="000000"/>
                <w:lang w:val="en-US" w:eastAsia="zh-CN"/>
              </w:rPr>
              <w:t>结直肠癌相关</w:t>
            </w:r>
            <w:r>
              <w:rPr>
                <w:rFonts w:hAnsi="等线" w:cstheme="minorBidi"/>
                <w:color w:val="000000"/>
                <w:lang w:eastAsia="en-US"/>
              </w:rPr>
              <w:t>基因，</w:t>
            </w:r>
            <w:r>
              <w:rPr>
                <w:rFonts w:hint="eastAsia" w:hAnsi="等线" w:cstheme="minorBidi"/>
                <w:color w:val="000000"/>
                <w:lang w:val="en-US" w:eastAsia="zh-CN"/>
              </w:rPr>
              <w:t>提供</w:t>
            </w:r>
            <w:r>
              <w:rPr>
                <w:rFonts w:hAnsi="等线" w:cstheme="minorBidi"/>
                <w:color w:val="000000"/>
                <w:lang w:eastAsia="en-US"/>
              </w:rPr>
              <w:t>遗传性</w:t>
            </w:r>
            <w:r>
              <w:rPr>
                <w:rFonts w:hint="eastAsia" w:hAnsi="等线" w:cstheme="minorBidi"/>
                <w:color w:val="000000"/>
                <w:lang w:val="en-US" w:eastAsia="zh-CN"/>
              </w:rPr>
              <w:t>结直肠癌</w:t>
            </w:r>
            <w:r>
              <w:rPr>
                <w:rFonts w:hAnsi="等线" w:cstheme="minorBidi"/>
                <w:color w:val="000000"/>
                <w:lang w:eastAsia="en-US"/>
              </w:rPr>
              <w:t>的检测结果。</w:t>
            </w:r>
          </w:p>
        </w:tc>
      </w:tr>
    </w:tbl>
    <w:p>
      <w:pPr>
        <w:widowControl/>
        <w:spacing w:line="120" w:lineRule="exact"/>
        <w:jc w:val="left"/>
        <w:rPr>
          <w:rFonts w:hAnsi="等线"/>
          <w:szCs w:val="21"/>
        </w:rPr>
      </w:pPr>
      <w:r>
        <w:rPr>
          <w:rFonts w:hAnsi="等线"/>
          <w:szCs w:val="21"/>
        </w:rPr>
        <w:br w:type="page"/>
      </w:r>
    </w:p>
    <w:p>
      <w:pPr>
        <w:pStyle w:val="2"/>
        <w:jc w:val="center"/>
        <w:rPr>
          <w:rFonts w:hAnsi="等线"/>
          <w:color w:val="00B0F0"/>
        </w:rPr>
      </w:pPr>
      <w:bookmarkStart w:id="13" w:name="_Toc89103141"/>
      <w:r>
        <w:rPr>
          <w:sz w:val="36"/>
          <w:szCs w:val="36"/>
        </w:rPr>
        <mc:AlternateContent>
          <mc:Choice Requires="wps">
            <w:drawing>
              <wp:anchor distT="0" distB="0" distL="114300" distR="114300" simplePos="0" relativeHeight="251665408" behindDoc="1" locked="0" layoutInCell="1" allowOverlap="1">
                <wp:simplePos x="0" y="0"/>
                <wp:positionH relativeFrom="column">
                  <wp:posOffset>1573530</wp:posOffset>
                </wp:positionH>
                <wp:positionV relativeFrom="paragraph">
                  <wp:posOffset>-34925</wp:posOffset>
                </wp:positionV>
                <wp:extent cx="3038475" cy="561975"/>
                <wp:effectExtent l="12700" t="12700" r="15875" b="15875"/>
                <wp:wrapNone/>
                <wp:docPr id="1009" name="圆角矩形 7"/>
                <wp:cNvGraphicFramePr/>
                <a:graphic xmlns:a="http://schemas.openxmlformats.org/drawingml/2006/main">
                  <a:graphicData uri="http://schemas.microsoft.com/office/word/2010/wordprocessingShape">
                    <wps:wsp>
                      <wps:cNvSpPr/>
                      <wps:spPr>
                        <a:xfrm>
                          <a:off x="0" y="0"/>
                          <a:ext cx="3038475" cy="561975"/>
                        </a:xfrm>
                        <a:prstGeom prst="roundRect">
                          <a:avLst/>
                        </a:prstGeom>
                        <a:noFill/>
                        <a:ln w="25400">
                          <a:solidFill>
                            <a:srgbClr val="00B0F0"/>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id="_x0000_s1026" o:spid="_x0000_s1026" o:spt="2" style="position:absolute;left:0pt;margin-left:123.9pt;margin-top:-2.75pt;height:44.25pt;width:239.25pt;z-index:-251651072;v-text-anchor:middle;mso-width-relative:page;mso-height-relative:page;" filled="f" stroked="t" coordsize="21600,21600" arcsize="0.166666666666667" o:gfxdata="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">
                <v:fill on="f" focussize="0,0"/>
                <v:stroke weight="2pt" color="#00B0F0 [3204]" miterlimit="8" joinstyle="miter"/>
                <v:imagedata o:title=""/>
                <o:lock v:ext="edit" aspectratio="f"/>
                <v:textbox>
                  <w:txbxContent>
                    <w:p>
                      <w:pPr>
                        <w:jc w:val="center"/>
                      </w:pPr>
                    </w:p>
                  </w:txbxContent>
                </v:textbox>
              </v:roundrect>
            </w:pict>
          </mc:Fallback>
        </mc:AlternateContent>
      </w:r>
      <w:r>
        <w:rPr>
          <w:rFonts w:hAnsi="等线"/>
          <w:color w:val="00B0F0"/>
        </w:rPr>
        <w:t xml:space="preserve">Part 2: </w:t>
      </w:r>
      <w:r>
        <w:rPr>
          <w:rFonts w:hint="eastAsia" w:hAnsi="等线"/>
          <w:color w:val="00B0F0"/>
        </w:rPr>
        <w:t>检测结果汇总</w:t>
      </w:r>
      <w:bookmarkEnd w:id="13"/>
    </w:p>
    <w:p>
      <w:pPr>
        <w:spacing w:before="340" w:line="360" w:lineRule="auto"/>
        <w:jc w:val="left"/>
        <w:outlineLvl w:val="1"/>
        <w:rPr>
          <w:rFonts w:hAnsi="等线" w:cs="Arial"/>
          <w:b/>
          <w:bCs/>
          <w:color w:val="00B0F0"/>
          <w:sz w:val="28"/>
          <w:szCs w:val="28"/>
        </w:rPr>
      </w:pPr>
      <w:bookmarkStart w:id="14" w:name="_Toc89103142"/>
      <w:r>
        <w:rPr>
          <w:rFonts w:hint="eastAsia" w:hAnsi="等线" w:cs="Arial"/>
          <w:b/>
          <w:bCs/>
          <w:color w:val="00B0F0"/>
          <w:sz w:val="28"/>
          <w:szCs w:val="28"/>
        </w:rPr>
        <w:drawing>
          <wp:anchor distT="0" distB="0" distL="114300" distR="114300" simplePos="0" relativeHeight="251666432" behindDoc="0" locked="0" layoutInCell="1" allowOverlap="1">
            <wp:simplePos x="0" y="0"/>
            <wp:positionH relativeFrom="column">
              <wp:posOffset>85090</wp:posOffset>
            </wp:positionH>
            <wp:positionV relativeFrom="paragraph">
              <wp:posOffset>40005</wp:posOffset>
            </wp:positionV>
            <wp:extent cx="272415" cy="277495"/>
            <wp:effectExtent l="0" t="0" r="1905" b="12065"/>
            <wp:wrapNone/>
            <wp:docPr id="1010" name="图片 8" descr="资源 1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资源 1229"/>
                    <pic:cNvPicPr>
                      <a:picLocks noChangeAspect="1"/>
                    </pic:cNvPicPr>
                  </pic:nvPicPr>
                  <pic:blipFill>
                    <a:blip r:embed="rId12"/>
                    <a:stretch>
                      <a:fillRect/>
                    </a:stretch>
                  </pic:blipFill>
                  <pic:spPr>
                    <a:xfrm>
                      <a:off x="0" y="0"/>
                      <a:ext cx="272415" cy="277495"/>
                    </a:xfrm>
                    <a:prstGeom prst="rect">
                      <a:avLst/>
                    </a:prstGeom>
                  </pic:spPr>
                </pic:pic>
              </a:graphicData>
            </a:graphic>
          </wp:anchor>
        </w:drawing>
      </w:r>
      <w:r>
        <w:rPr>
          <w:rFonts w:hint="eastAsia" w:hAnsi="等线" w:cs="Arial"/>
          <w:b/>
          <w:bCs/>
          <w:color w:val="00B0F0"/>
          <w:sz w:val="28"/>
          <w:szCs w:val="28"/>
        </w:rPr>
        <w:t xml:space="preserve">     </w:t>
      </w:r>
      <w:bookmarkStart w:id="15" w:name="Part2：结果汇总"/>
      <w:bookmarkEnd w:id="15"/>
      <w:bookmarkStart w:id="16" w:name="检测结果汇总"/>
      <w:bookmarkEnd w:id="16"/>
      <w:r>
        <w:rPr>
          <w:rFonts w:hint="eastAsia" w:hAnsi="等线" w:cs="Arial"/>
          <w:b/>
          <w:bCs/>
          <w:color w:val="00B0F0"/>
          <w:sz w:val="28"/>
          <w:szCs w:val="28"/>
        </w:rPr>
        <w:t>检测结果汇总</w:t>
      </w:r>
      <w:bookmarkEnd w:id="14"/>
    </w:p>
    <w:tbl>
      <w:tblPr>
        <w:tblStyle w:val="21"/>
        <w:tblW w:w="5000" w:type="pct"/>
        <w:jc w:val="center"/>
        <w:tblBorders>
          <w:top w:val="single" w:color="5B9BD5" w:themeColor="accent5" w:sz="4" w:space="0"/>
          <w:left w:val="single" w:color="5B9BD5" w:themeColor="accent5" w:sz="4" w:space="0"/>
          <w:bottom w:val="single" w:color="5B9BD5" w:themeColor="accent5" w:sz="4" w:space="0"/>
          <w:right w:val="single" w:color="5B9BD5" w:themeColor="accent5" w:sz="4" w:space="0"/>
          <w:insideH w:val="dotted" w:color="5B9BD5" w:themeColor="accent5" w:sz="4" w:space="0"/>
          <w:insideV w:val="dotted" w:color="5B9BD5" w:themeColor="accent5" w:sz="4" w:space="0"/>
        </w:tblBorders>
        <w:tblLayout w:type="fixed"/>
        <w:tblCellMar>
          <w:top w:w="0" w:type="dxa"/>
          <w:left w:w="108" w:type="dxa"/>
          <w:bottom w:w="0" w:type="dxa"/>
          <w:right w:w="108" w:type="dxa"/>
        </w:tblCellMar>
      </w:tblPr>
      <w:tblGrid>
        <w:gridCol w:w="2128"/>
        <w:gridCol w:w="3464"/>
        <w:gridCol w:w="4263"/>
      </w:tblGrid>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dotted" w:color="5B9BD5" w:themeColor="accent5" w:sz="4" w:space="0"/>
            <w:insideV w:val="dotted" w:color="5B9BD5" w:themeColor="accent5" w:sz="4" w:space="0"/>
          </w:tblBorders>
          <w:tblCellMar>
            <w:top w:w="0" w:type="dxa"/>
            <w:left w:w="108" w:type="dxa"/>
            <w:bottom w:w="0" w:type="dxa"/>
            <w:right w:w="108" w:type="dxa"/>
          </w:tblCellMar>
        </w:tblPrEx>
        <w:trPr>
          <w:trHeight w:val="23" w:hRule="atLeast"/>
          <w:jc w:val="center"/>
        </w:trPr>
        <w:tc>
          <w:tcPr>
            <w:tcW w:w="9855" w:type="dxa"/>
            <w:gridSpan w:val="3"/>
            <w:tcBorders>
              <w:top w:val="single" w:color="4684D3" w:sz="8" w:space="0"/>
              <w:left w:val="single" w:color="FEFEFE" w:sz="8" w:space="0"/>
              <w:right w:val="single" w:color="FEFEFE" w:sz="8" w:space="0"/>
            </w:tcBorders>
            <w:shd w:val="clear" w:color="auto" w:fill="FEFEFE"/>
            <w:vAlign w:val="center"/>
          </w:tcPr>
          <w:p>
            <w:pPr>
              <w:spacing w:line="20" w:lineRule="exact"/>
            </w:pP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dotted" w:color="5B9BD5" w:themeColor="accent5" w:sz="4" w:space="0"/>
            <w:insideV w:val="dotted" w:color="5B9BD5" w:themeColor="accent5" w:sz="4" w:space="0"/>
          </w:tblBorders>
          <w:tblCellMar>
            <w:top w:w="0" w:type="dxa"/>
            <w:left w:w="108" w:type="dxa"/>
            <w:bottom w:w="0" w:type="dxa"/>
            <w:right w:w="108" w:type="dxa"/>
          </w:tblCellMar>
        </w:tblPrEx>
        <w:trPr>
          <w:trHeight w:val="680" w:hRule="exact"/>
          <w:jc w:val="center"/>
        </w:trPr>
        <w:tc>
          <w:tcPr>
            <w:tcW w:w="2128" w:type="dxa"/>
            <w:vMerge w:val="restart"/>
            <w:tcBorders>
              <w:left w:val="single" w:color="FEFEFE" w:sz="8" w:space="0"/>
              <w:right w:val="single" w:color="FEFEFE" w:sz="8" w:space="0"/>
            </w:tcBorders>
            <w:shd w:val="clear" w:color="auto" w:fill="FEFEFE"/>
            <w:vAlign w:val="center"/>
          </w:tcPr>
          <w:p>
            <w:pPr>
              <w:widowControl/>
              <w:spacing w:line="360" w:lineRule="auto"/>
              <w:jc w:val="center"/>
              <w:rPr>
                <w:rFonts w:hAnsi="等线" w:cs="Arial"/>
                <w:color w:val="000000"/>
                <w:szCs w:val="21"/>
              </w:rPr>
            </w:pPr>
            <w:r>
              <w:rPr>
                <w:rFonts w:hint="eastAsia" w:hAnsi="等线" w:cs="Arial"/>
                <w:color w:val="000000"/>
                <w:szCs w:val="21"/>
              </w:rPr>
              <w:t>靶向用药</w:t>
            </w:r>
            <w:r>
              <w:rPr>
                <w:rFonts w:hint="eastAsia" w:hAnsi="等线" w:cs="Arial"/>
                <w:color w:val="000000"/>
                <w:szCs w:val="21"/>
                <w:lang w:val="en-US" w:eastAsia="zh-CN"/>
              </w:rPr>
              <w:t>基因</w:t>
            </w:r>
            <w:r>
              <w:rPr>
                <w:rFonts w:hint="eastAsia" w:hAnsi="等线" w:cs="Arial"/>
                <w:color w:val="000000"/>
                <w:szCs w:val="21"/>
              </w:rPr>
              <w:t>检测</w:t>
            </w:r>
          </w:p>
        </w:tc>
        <w:tc>
          <w:tcPr>
            <w:tcW w:w="3464" w:type="dxa"/>
            <w:tcBorders>
              <w:top w:val="nil"/>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color w:val="000000"/>
                <w:szCs w:val="21"/>
              </w:rPr>
            </w:pPr>
            <w:r>
              <w:rPr>
                <w:rFonts w:hAnsi="等线" w:cs="Arial"/>
                <w:color w:val="000000"/>
                <w:szCs w:val="21"/>
              </w:rPr>
              <w:t>检测到的基因变异</w:t>
            </w:r>
          </w:p>
        </w:tc>
        <w:tc>
          <w:tcPr>
            <w:tcW w:w="4263" w:type="dxa"/>
            <w:tcBorders>
              <w:top w:val="nil"/>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bCs/>
                <w:color w:val="000000"/>
                <w:szCs w:val="21"/>
              </w:rPr>
            </w:pPr>
            <w:r>
              <w:rPr>
                <w:rFonts w:hint="eastAsia"/>
                <w:lang w:bidi="ar"/>
              </w:rPr>
              <w:t xml:space="preserve">3</w:t>
            </w:r>
            <w:r>
              <w:rPr>
                <w:color w:val="000000"/>
              </w:rPr>
              <w:t xml:space="preserve"> 个</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dotted" w:color="5B9BD5" w:themeColor="accent5" w:sz="4" w:space="0"/>
            <w:insideV w:val="dotted" w:color="5B9BD5" w:themeColor="accent5" w:sz="4" w:space="0"/>
          </w:tblBorders>
          <w:tblCellMar>
            <w:top w:w="0" w:type="dxa"/>
            <w:left w:w="108" w:type="dxa"/>
            <w:bottom w:w="0" w:type="dxa"/>
            <w:right w:w="108" w:type="dxa"/>
          </w:tblCellMar>
        </w:tblPrEx>
        <w:trPr>
          <w:trHeight w:val="680" w:hRule="exact"/>
          <w:jc w:val="center"/>
        </w:trPr>
        <w:tc>
          <w:tcPr>
            <w:tcW w:w="2128" w:type="dxa"/>
            <w:vMerge w:val="continue"/>
            <w:tcBorders>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color w:val="000000"/>
                <w:szCs w:val="21"/>
              </w:rPr>
            </w:pPr>
          </w:p>
        </w:tc>
        <w:tc>
          <w:tcPr>
            <w:tcW w:w="3464"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color w:val="000000"/>
                <w:szCs w:val="21"/>
              </w:rPr>
            </w:pPr>
            <w:r>
              <w:rPr>
                <w:rFonts w:hAnsi="等线" w:cs="Arial"/>
                <w:color w:val="000000"/>
                <w:szCs w:val="21"/>
              </w:rPr>
              <w:t>检测到潜在临床获益的治疗药物</w:t>
            </w:r>
          </w:p>
        </w:tc>
        <w:tc>
          <w:tcPr>
            <w:tcW w:w="4263"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bCs/>
                <w:color w:val="000000"/>
                <w:szCs w:val="21"/>
              </w:rPr>
            </w:pPr>
            <w:r>
              <w:rPr>
                <w:rFonts w:hint="eastAsia"/>
                <w:lang w:bidi="ar"/>
              </w:rPr>
              <w:t xml:space="preserve">8</w:t>
            </w:r>
            <w:r>
              <w:rPr>
                <w:color w:val="000000"/>
              </w:rPr>
              <w:t xml:space="preserve"> 个</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dotted" w:color="5B9BD5" w:themeColor="accent5" w:sz="4" w:space="0"/>
            <w:insideV w:val="dotted" w:color="5B9BD5" w:themeColor="accent5" w:sz="4" w:space="0"/>
          </w:tblBorders>
          <w:tblCellMar>
            <w:top w:w="0" w:type="dxa"/>
            <w:left w:w="108" w:type="dxa"/>
            <w:bottom w:w="0" w:type="dxa"/>
            <w:right w:w="108" w:type="dxa"/>
          </w:tblCellMar>
        </w:tblPrEx>
        <w:trPr>
          <w:trHeight w:val="680" w:hRule="exact"/>
          <w:jc w:val="center"/>
        </w:trPr>
        <w:tc>
          <w:tcPr>
            <w:tcW w:w="2128" w:type="dxa"/>
            <w:vMerge w:val="restart"/>
            <w:tcBorders>
              <w:left w:val="single" w:color="FEFEFE"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252" w:lineRule="auto"/>
              <w:jc w:val="center"/>
              <w:textAlignment w:val="auto"/>
              <w:rPr>
                <w:rFonts w:hAnsi="等线" w:cs="Arial"/>
                <w:color w:val="000000"/>
                <w:szCs w:val="21"/>
              </w:rPr>
            </w:pPr>
            <w:r>
              <w:rPr>
                <w:rFonts w:hint="eastAsia" w:hAnsi="等线" w:cs="Arial"/>
                <w:color w:val="000000"/>
                <w:szCs w:val="21"/>
              </w:rPr>
              <w:t>免疫治疗</w:t>
            </w:r>
            <w:r>
              <w:rPr>
                <w:rFonts w:hint="eastAsia" w:hAnsi="等线" w:cs="Arial"/>
                <w:color w:val="000000"/>
                <w:szCs w:val="21"/>
                <w:lang w:val="en-US" w:eastAsia="zh-CN"/>
              </w:rPr>
              <w:t>相关</w:t>
            </w:r>
            <w:r>
              <w:rPr>
                <w:rFonts w:hint="eastAsia" w:hAnsi="等线" w:cs="Arial"/>
                <w:color w:val="000000"/>
                <w:szCs w:val="21"/>
                <w:lang w:val="en-US" w:eastAsia="zh-CN"/>
              </w:rPr>
              <w:br w:type="textWrapping"/>
            </w:r>
            <w:r>
              <w:rPr>
                <w:rFonts w:hint="eastAsia" w:hAnsi="等线" w:cs="Arial"/>
                <w:color w:val="000000"/>
                <w:szCs w:val="21"/>
                <w:lang w:val="en-US" w:eastAsia="zh-CN"/>
              </w:rPr>
              <w:t>Biomarker</w:t>
            </w:r>
            <w:r>
              <w:rPr>
                <w:rFonts w:hint="eastAsia" w:hAnsi="等线" w:cs="Arial"/>
                <w:color w:val="000000"/>
                <w:szCs w:val="21"/>
              </w:rPr>
              <w:t>检测</w:t>
            </w:r>
          </w:p>
        </w:tc>
        <w:tc>
          <w:tcPr>
            <w:tcW w:w="3464"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color w:val="000000"/>
              </w:rPr>
            </w:pPr>
            <w:r>
              <w:rPr>
                <w:rFonts w:hint="eastAsia"/>
                <w:color w:val="000000"/>
              </w:rPr>
              <w:t>微卫星不稳定（</w:t>
            </w:r>
            <w:r>
              <w:rPr>
                <w:color w:val="000000"/>
              </w:rPr>
              <w:t>MSI）检测</w:t>
            </w:r>
          </w:p>
        </w:tc>
        <w:tc>
          <w:tcPr>
            <w:tcW w:w="4263"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int="eastAsia" w:hAnsi="等线" w:eastAsia="等线" w:cs="Arial"/>
                <w:bCs/>
                <w:color w:val="000000"/>
                <w:szCs w:val="21"/>
                <w:lang w:eastAsia="zh-CN"/>
              </w:rPr>
            </w:pPr>
            <w:r>
              <w:rPr>
                <w:rFonts w:hint="eastAsia"/>
                <w:lang w:bidi="ar"/>
              </w:rPr>
              <w:t xml:space="preserve">MSS</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dotted" w:color="5B9BD5" w:themeColor="accent5" w:sz="4" w:space="0"/>
            <w:insideV w:val="dotted" w:color="5B9BD5" w:themeColor="accent5" w:sz="4" w:space="0"/>
          </w:tblBorders>
          <w:tblCellMar>
            <w:top w:w="0" w:type="dxa"/>
            <w:left w:w="108" w:type="dxa"/>
            <w:bottom w:w="0" w:type="dxa"/>
            <w:right w:w="108" w:type="dxa"/>
          </w:tblCellMar>
        </w:tblPrEx>
        <w:trPr>
          <w:trHeight w:val="680" w:hRule="exact"/>
          <w:jc w:val="center"/>
        </w:trPr>
        <w:tc>
          <w:tcPr>
            <w:tcW w:w="2128" w:type="dxa"/>
            <w:vMerge w:val="continue"/>
            <w:tcBorders>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color w:val="000000"/>
                <w:szCs w:val="21"/>
              </w:rPr>
            </w:pPr>
          </w:p>
        </w:tc>
        <w:tc>
          <w:tcPr>
            <w:tcW w:w="3464"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color w:val="000000"/>
              </w:rPr>
            </w:pPr>
            <w:r>
              <w:rPr>
                <w:rFonts w:hint="eastAsia"/>
                <w:color w:val="000000"/>
              </w:rPr>
              <w:t>错配修复系统（</w:t>
            </w:r>
            <w:r>
              <w:rPr>
                <w:color w:val="000000"/>
              </w:rPr>
              <w:t>MMR）检测</w:t>
            </w:r>
          </w:p>
        </w:tc>
        <w:tc>
          <w:tcPr>
            <w:tcW w:w="4263"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bCs/>
                <w:color w:val="000000"/>
                <w:szCs w:val="21"/>
              </w:rPr>
            </w:pPr>
            <w:r>
              <w:rPr>
                <w:rFonts w:hint="eastAsia"/>
                <w:color w:val="000000"/>
              </w:rPr>
              <w:t xml:space="preserve">发现 </w:t>
            </w:r>
            <w:r>
              <w:rPr>
                <w:rFonts w:hint="eastAsia"/>
                <w:lang w:bidi="ar"/>
              </w:rPr>
              <w:t xml:space="preserve">1</w:t>
            </w:r>
            <w:r>
              <w:rPr>
                <w:rFonts w:hint="eastAsia"/>
                <w:color w:val="000000"/>
              </w:rPr>
              <w:t xml:space="preserve"> </w:t>
            </w:r>
            <w:r>
              <w:rPr>
                <w:color w:val="000000"/>
              </w:rPr>
              <w:t>个致病/疑似致病突变</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dotted" w:color="5B9BD5" w:themeColor="accent5" w:sz="4" w:space="0"/>
            <w:insideV w:val="dotted" w:color="5B9BD5" w:themeColor="accent5" w:sz="4" w:space="0"/>
          </w:tblBorders>
          <w:tblCellMar>
            <w:top w:w="0" w:type="dxa"/>
            <w:left w:w="108" w:type="dxa"/>
            <w:bottom w:w="0" w:type="dxa"/>
            <w:right w:w="108" w:type="dxa"/>
          </w:tblCellMar>
        </w:tblPrEx>
        <w:trPr>
          <w:trHeight w:val="850" w:hRule="exact"/>
          <w:jc w:val="center"/>
        </w:trPr>
        <w:tc>
          <w:tcPr>
            <w:tcW w:w="2128" w:type="dxa"/>
            <w:tcBorders>
              <w:top w:val="single" w:color="4684D3" w:sz="8" w:space="0"/>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252" w:lineRule="auto"/>
              <w:jc w:val="center"/>
              <w:textAlignment w:val="auto"/>
              <w:rPr>
                <w:color w:val="000000"/>
              </w:rPr>
            </w:pPr>
            <w:r>
              <w:rPr>
                <w:rFonts w:hint="eastAsia"/>
                <w:color w:val="000000"/>
              </w:rPr>
              <w:t>化疗用药多态性</w:t>
            </w:r>
            <w:r>
              <w:rPr>
                <w:rFonts w:hint="eastAsia"/>
                <w:color w:val="000000"/>
              </w:rPr>
              <w:br w:type="textWrapping"/>
            </w:r>
            <w:r>
              <w:rPr>
                <w:rFonts w:hint="eastAsia"/>
                <w:color w:val="000000"/>
              </w:rPr>
              <w:t>位点检测</w:t>
            </w:r>
          </w:p>
        </w:tc>
        <w:tc>
          <w:tcPr>
            <w:tcW w:w="3464"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等线"/>
                <w:color w:val="171A1D"/>
                <w:szCs w:val="21"/>
                <w:shd w:val="clear" w:color="auto" w:fill="FFFFFF"/>
              </w:rPr>
            </w:pPr>
            <w:r>
              <w:rPr>
                <w:rFonts w:hint="eastAsia" w:hAnsi="等线" w:cs="等线"/>
                <w:color w:val="171A1D"/>
                <w:szCs w:val="21"/>
                <w:shd w:val="clear" w:color="auto" w:fill="FFFFFF"/>
              </w:rPr>
              <w:t>推荐使用的化疗药物</w:t>
            </w:r>
          </w:p>
        </w:tc>
        <w:tc>
          <w:tcPr>
            <w:tcW w:w="4263"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color w:val="000000"/>
              </w:rPr>
            </w:pPr>
            <w:r>
              <w:rPr>
                <w:rFonts w:hint="eastAsia"/>
                <w:color w:val="000000"/>
              </w:rPr>
              <w:t xml:space="preserve">22</w:t>
            </w:r>
            <w:r>
              <w:rPr>
                <w:rFonts w:hint="eastAsia"/>
                <w:color w:val="000000"/>
              </w:rPr>
              <w:t>个</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dotted" w:color="5B9BD5" w:themeColor="accent5" w:sz="4" w:space="0"/>
            <w:insideV w:val="dotted" w:color="5B9BD5" w:themeColor="accent5" w:sz="4" w:space="0"/>
          </w:tblBorders>
          <w:tblCellMar>
            <w:top w:w="0" w:type="dxa"/>
            <w:left w:w="108" w:type="dxa"/>
            <w:bottom w:w="0" w:type="dxa"/>
            <w:right w:w="108" w:type="dxa"/>
          </w:tblCellMar>
        </w:tblPrEx>
        <w:trPr>
          <w:trHeight w:val="850" w:hRule="exact"/>
          <w:jc w:val="center"/>
        </w:trPr>
        <w:tc>
          <w:tcPr>
            <w:tcW w:w="2128" w:type="dxa"/>
            <w:vMerge w:val="restart"/>
            <w:tcBorders>
              <w:top w:val="single" w:color="4684D3" w:sz="8" w:space="0"/>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textAlignment w:val="auto"/>
              <w:rPr>
                <w:rFonts w:hint="eastAsia"/>
                <w:color w:val="000000"/>
              </w:rPr>
            </w:pPr>
            <w:r>
              <w:rPr>
                <w:rFonts w:hint="eastAsia"/>
                <w:color w:val="000000"/>
                <w:lang w:eastAsia="en-US"/>
              </w:rPr>
              <w:t>遗传性</w:t>
            </w:r>
            <w:r>
              <w:rPr>
                <w:rFonts w:hint="eastAsia"/>
                <w:color w:val="000000"/>
                <w:lang w:val="en-US" w:eastAsia="zh-CN"/>
              </w:rPr>
              <w:t>结直肠癌</w:t>
            </w:r>
            <w:r>
              <w:rPr>
                <w:rFonts w:hint="eastAsia"/>
                <w:color w:val="000000"/>
                <w:lang w:val="en-US" w:eastAsia="zh-CN"/>
              </w:rPr>
              <w:br w:type="textWrapping"/>
            </w:r>
            <w:r>
              <w:rPr>
                <w:rFonts w:hint="eastAsia"/>
                <w:color w:val="000000"/>
                <w:lang w:eastAsia="en-US"/>
              </w:rPr>
              <w:t>基因检测</w:t>
            </w:r>
          </w:p>
        </w:tc>
        <w:tc>
          <w:tcPr>
            <w:tcW w:w="3464"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before="120" w:after="120" w:line="252" w:lineRule="auto"/>
              <w:jc w:val="center"/>
              <w:rPr>
                <w:rFonts w:hint="eastAsia" w:ascii="等线" w:hAnsi="等线" w:eastAsia="等线" w:cs="等线"/>
                <w:color w:val="171A1D"/>
                <w:kern w:val="2"/>
                <w:sz w:val="21"/>
                <w:szCs w:val="21"/>
                <w:shd w:val="clear" w:color="auto" w:fill="FFFFFF"/>
                <w:lang w:val="en-US" w:eastAsia="zh-CN" w:bidi="ar-SA"/>
              </w:rPr>
            </w:pPr>
            <w:r>
              <w:rPr>
                <w:rFonts w:hAnsi="等线" w:cs="Arial"/>
                <w:color w:val="000000"/>
                <w:szCs w:val="21"/>
              </w:rPr>
              <w:t>检测到的遗传性胚系变异</w:t>
            </w:r>
          </w:p>
        </w:tc>
        <w:tc>
          <w:tcPr>
            <w:tcW w:w="4263"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before="120" w:after="120" w:line="252" w:lineRule="auto"/>
              <w:jc w:val="center"/>
              <w:rPr>
                <w:rFonts w:hint="eastAsia" w:ascii="等线" w:hAnsi="微软雅黑" w:eastAsia="等线" w:cs="Times New Roman"/>
                <w:color w:val="000000"/>
                <w:kern w:val="2"/>
                <w:sz w:val="21"/>
                <w:szCs w:val="22"/>
                <w:lang w:val="en-US" w:eastAsia="zh-CN" w:bidi="ar-SA"/>
              </w:rPr>
            </w:pPr>
            <w:r>
              <w:rPr>
                <w:rFonts w:hint="eastAsia"/>
                <w:color w:val="000000"/>
              </w:rPr>
              <w:t xml:space="preserve">发现 </w:t>
            </w:r>
            <w:r>
              <w:rPr>
                <w:rFonts w:hint="eastAsia"/>
                <w:lang w:bidi="ar"/>
              </w:rPr>
              <w:t xml:space="preserve">3</w:t>
            </w:r>
            <w:r>
              <w:rPr>
                <w:rFonts w:hint="eastAsia"/>
                <w:color w:val="000000"/>
              </w:rPr>
              <w:t xml:space="preserve"> </w:t>
            </w:r>
            <w:r>
              <w:rPr>
                <w:color w:val="000000"/>
              </w:rPr>
              <w:t>个致病/疑似致病突变</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dotted" w:color="5B9BD5" w:themeColor="accent5" w:sz="4" w:space="0"/>
            <w:insideV w:val="dotted" w:color="5B9BD5" w:themeColor="accent5" w:sz="4" w:space="0"/>
          </w:tblBorders>
          <w:tblCellMar>
            <w:top w:w="0" w:type="dxa"/>
            <w:left w:w="108" w:type="dxa"/>
            <w:bottom w:w="0" w:type="dxa"/>
            <w:right w:w="108" w:type="dxa"/>
          </w:tblCellMar>
        </w:tblPrEx>
        <w:trPr>
          <w:trHeight w:val="23" w:hRule="exact"/>
          <w:jc w:val="center"/>
        </w:trPr>
        <w:tc>
          <w:tcPr>
            <w:tcW w:w="2128" w:type="dxa"/>
            <w:vMerge w:val="continue"/>
            <w:tcBorders>
              <w:top w:val="single" w:color="4684D3" w:sz="8" w:space="0"/>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textAlignment w:val="auto"/>
              <w:rPr>
                <w:rFonts w:hint="eastAsia"/>
                <w:color w:val="000000"/>
                <w:lang w:eastAsia="en-US"/>
              </w:rPr>
            </w:pPr>
          </w:p>
        </w:tc>
        <w:tc>
          <w:tcPr>
            <w:tcW w:w="3464" w:type="dxa"/>
            <w:tcBorders>
              <w:top w:val="single" w:color="4684D3" w:sz="8" w:space="0"/>
              <w:left w:val="single" w:color="FEFEFE" w:sz="8" w:space="0"/>
              <w:bottom w:val="nil"/>
              <w:right w:val="single" w:color="FEFEFE" w:sz="8" w:space="0"/>
            </w:tcBorders>
            <w:shd w:val="clear" w:color="auto" w:fill="FEFEFE"/>
            <w:vAlign w:val="center"/>
          </w:tcPr>
          <w:p>
            <w:pPr>
              <w:keepNext w:val="0"/>
              <w:keepLines w:val="0"/>
              <w:pageBreakBefore w:val="0"/>
              <w:widowControl w:val="0"/>
              <w:kinsoku/>
              <w:wordWrap/>
              <w:overflowPunct/>
              <w:topLinePunct w:val="0"/>
              <w:autoSpaceDE/>
              <w:autoSpaceDN/>
              <w:bidi w:val="0"/>
              <w:adjustRightInd/>
              <w:snapToGrid/>
              <w:spacing w:line="20" w:lineRule="exact"/>
              <w:textAlignment w:val="auto"/>
            </w:pPr>
          </w:p>
        </w:tc>
        <w:tc>
          <w:tcPr>
            <w:tcW w:w="4263" w:type="dxa"/>
            <w:tcBorders>
              <w:top w:val="single" w:color="4684D3" w:sz="8" w:space="0"/>
              <w:left w:val="single" w:color="FEFEFE" w:sz="8" w:space="0"/>
              <w:bottom w:val="nil"/>
              <w:right w:val="single" w:color="FEFEFE" w:sz="8" w:space="0"/>
            </w:tcBorders>
            <w:shd w:val="clear" w:color="auto" w:fill="FEFEFE"/>
            <w:vAlign w:val="center"/>
          </w:tcPr>
          <w:p>
            <w:pPr>
              <w:keepNext w:val="0"/>
              <w:keepLines w:val="0"/>
              <w:pageBreakBefore w:val="0"/>
              <w:widowControl w:val="0"/>
              <w:kinsoku/>
              <w:wordWrap/>
              <w:overflowPunct/>
              <w:topLinePunct w:val="0"/>
              <w:autoSpaceDE/>
              <w:autoSpaceDN/>
              <w:bidi w:val="0"/>
              <w:adjustRightInd/>
              <w:snapToGrid/>
              <w:spacing w:line="20" w:lineRule="exact"/>
              <w:textAlignment w:val="auto"/>
              <w:rPr>
                <w:rFonts w:hint="eastAsia"/>
              </w:rPr>
            </w:pP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dotted" w:color="5B9BD5" w:themeColor="accent5" w:sz="4" w:space="0"/>
            <w:insideV w:val="dotted" w:color="5B9BD5" w:themeColor="accent5" w:sz="4" w:space="0"/>
          </w:tblBorders>
          <w:tblCellMar>
            <w:top w:w="0" w:type="dxa"/>
            <w:left w:w="108" w:type="dxa"/>
            <w:bottom w:w="0" w:type="dxa"/>
            <w:right w:w="108" w:type="dxa"/>
          </w:tblCellMar>
        </w:tblPrEx>
        <w:trPr>
          <w:trHeight w:val="567" w:hRule="atLeast"/>
          <w:jc w:val="center"/>
        </w:trPr>
        <w:tc>
          <w:tcPr>
            <w:tcW w:w="2128" w:type="dxa"/>
            <w:vMerge w:val="continue"/>
            <w:tcBorders>
              <w:top w:val="single" w:color="4684D3" w:sz="8" w:space="0"/>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textAlignment w:val="auto"/>
              <w:rPr>
                <w:rFonts w:hint="eastAsia"/>
                <w:color w:val="000000"/>
              </w:rPr>
            </w:pPr>
          </w:p>
        </w:tc>
        <w:tc>
          <w:tcPr>
            <w:tcW w:w="7727" w:type="dxa"/>
            <w:gridSpan w:val="2"/>
            <w:tcBorders>
              <w:top w:val="nil"/>
              <w:left w:val="single" w:color="FEFEFE" w:sz="8" w:space="0"/>
              <w:bottom w:val="single" w:color="4684D3" w:sz="8" w:space="0"/>
              <w:right w:val="single" w:color="FEFEFE" w:sz="8" w:space="0"/>
            </w:tcBorders>
            <w:shd w:val="clear" w:color="auto" w:fill="FEFEFE"/>
            <w:vAlign w:val="center"/>
          </w:tcPr>
          <w:p>
            <w:pPr>
              <w:pStyle w:val="18"/>
              <w:keepNext w:val="0"/>
              <w:keepLines w:val="0"/>
              <w:pageBreakBefore w:val="0"/>
              <w:widowControl w:val="0"/>
              <w:kinsoku/>
              <w:wordWrap/>
              <w:overflowPunct/>
              <w:topLinePunct w:val="0"/>
              <w:autoSpaceDE/>
              <w:autoSpaceDN/>
              <w:bidi w:val="0"/>
              <w:adjustRightInd/>
              <w:snapToGrid/>
              <w:spacing w:before="0" w:beforeAutospacing="0" w:after="0" w:afterAutospacing="0" w:line="252" w:lineRule="auto"/>
              <w:jc w:val="left"/>
              <w:textAlignment w:val="auto"/>
              <w:rPr>
                <w:rFonts w:hint="eastAsia" w:ascii="宋体" w:hAnsi="等线" w:eastAsia="等线" w:cs="宋体"/>
                <w:b w:val="0"/>
                <w:bCs w:val="0"/>
                <w:color w:val="auto"/>
                <w:kern w:val="0"/>
                <w:sz w:val="16"/>
                <w:szCs w:val="16"/>
                <w:lang w:val="en-US" w:eastAsia="zh-CN" w:bidi="ar-SA"/>
              </w:rPr>
            </w:pPr>
            <w:r>
              <w:rPr>
                <w:rFonts w:hint="eastAsia" w:hAnsi="等线"/>
                <w:b w:val="0"/>
                <w:bCs w:val="0"/>
                <w:color w:val="auto"/>
                <w:sz w:val="16"/>
                <w:szCs w:val="16"/>
                <w:lang w:val="en-US" w:eastAsia="zh-CN"/>
              </w:rPr>
              <w:t>说明：</w:t>
            </w:r>
            <w:r>
              <w:rPr>
                <w:rFonts w:hint="eastAsia" w:hAnsi="等线" w:cs="Arial"/>
                <w:b w:val="0"/>
                <w:bCs w:val="0"/>
                <w:color w:val="auto"/>
                <w:sz w:val="16"/>
                <w:szCs w:val="16"/>
                <w:lang w:val="en-US" w:eastAsia="zh-CN"/>
              </w:rPr>
              <w:t>由于本样本未送检外周血对照样本，无法完全确定突变是否为胚系变异。若检测到突变，建议临床医生结合患者家族史等信息，谨慎参考本次检测结果。必要时，可送检外周血对照样本，排除胚系变异的可能。</w:t>
            </w:r>
          </w:p>
        </w:tc>
      </w:tr>
    </w:tbl>
    <w:p>
      <w:pPr>
        <w:rPr>
          <w:rFonts w:hint="eastAsia"/>
        </w:rPr>
      </w:pPr>
      <w:r>
        <w:rPr>
          <w:rFonts w:hint="eastAsia"/>
        </w:rPr>
        <w:t>注：汇总表格内只包含具有临床意义及潜在临床意义的突变，临床意义未明的突变见详细解读。</w:t>
      </w:r>
    </w:p>
    <w:p>
      <w:pPr>
        <w:rPr>
          <w:rFonts w:hint="eastAsia"/>
        </w:rPr>
      </w:pPr>
    </w:p>
    <w:p>
      <w:pPr>
        <w:rPr>
          <w:rFonts w:hint="eastAsia"/>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auto"/>
        <w:outlineLvl w:val="1"/>
        <w:rPr>
          <w:rFonts w:hint="eastAsia" w:hAnsi="等线" w:cs="Arial"/>
          <w:b/>
          <w:bCs/>
          <w:color w:val="00B0F0"/>
          <w:sz w:val="28"/>
          <w:szCs w:val="28"/>
        </w:rPr>
      </w:pPr>
      <w:bookmarkStart w:id="17" w:name="_Toc89103143"/>
      <w:r>
        <w:rPr>
          <w:rFonts w:hint="eastAsia" w:hAnsi="等线" w:cs="Arial"/>
          <w:b/>
          <w:bCs/>
          <w:color w:val="00B0F0"/>
          <w:sz w:val="28"/>
          <w:szCs w:val="28"/>
        </w:rPr>
        <w:drawing>
          <wp:anchor distT="0" distB="0" distL="114300" distR="114300" simplePos="0" relativeHeight="251696128" behindDoc="0" locked="0" layoutInCell="1" allowOverlap="1">
            <wp:simplePos x="0" y="0"/>
            <wp:positionH relativeFrom="column">
              <wp:posOffset>90170</wp:posOffset>
            </wp:positionH>
            <wp:positionV relativeFrom="paragraph">
              <wp:posOffset>55245</wp:posOffset>
            </wp:positionV>
            <wp:extent cx="272415" cy="277495"/>
            <wp:effectExtent l="0" t="0" r="1905" b="12065"/>
            <wp:wrapNone/>
            <wp:docPr id="1011" name="图片 42" descr="资源 1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descr="资源 1229"/>
                    <pic:cNvPicPr>
                      <a:picLocks noChangeAspect="1"/>
                    </pic:cNvPicPr>
                  </pic:nvPicPr>
                  <pic:blipFill>
                    <a:blip r:embed="rId12"/>
                    <a:stretch>
                      <a:fillRect/>
                    </a:stretch>
                  </pic:blipFill>
                  <pic:spPr>
                    <a:xfrm>
                      <a:off x="0" y="0"/>
                      <a:ext cx="272415" cy="277495"/>
                    </a:xfrm>
                    <a:prstGeom prst="rect">
                      <a:avLst/>
                    </a:prstGeom>
                  </pic:spPr>
                </pic:pic>
              </a:graphicData>
            </a:graphic>
          </wp:anchor>
        </w:drawing>
      </w:r>
      <w:r>
        <w:rPr>
          <w:rFonts w:hint="eastAsia" w:hAnsi="等线" w:cs="Arial"/>
          <w:b/>
          <w:bCs/>
          <w:color w:val="00B0F0"/>
          <w:sz w:val="28"/>
          <w:szCs w:val="28"/>
          <w:lang w:val="en-US" w:eastAsia="zh-CN"/>
        </w:rPr>
        <w:t xml:space="preserve">     </w:t>
      </w:r>
      <w:bookmarkStart w:id="18" w:name="靶向用药检测小结"/>
      <w:bookmarkEnd w:id="18"/>
      <w:r>
        <w:rPr>
          <w:rFonts w:hint="eastAsia" w:hAnsi="等线" w:cs="Arial"/>
          <w:b/>
          <w:bCs/>
          <w:color w:val="00B0F0"/>
          <w:sz w:val="28"/>
          <w:szCs w:val="28"/>
          <w:lang w:val="en-US" w:eastAsia="zh-CN"/>
        </w:rPr>
        <w:t>靶向用药基因</w:t>
      </w:r>
      <w:r>
        <w:rPr>
          <w:rFonts w:hint="eastAsia" w:hAnsi="等线" w:cs="Arial"/>
          <w:b/>
          <w:bCs/>
          <w:color w:val="00B0F0"/>
          <w:sz w:val="28"/>
          <w:szCs w:val="28"/>
        </w:rPr>
        <w:t>检测结果</w:t>
      </w:r>
      <w:bookmarkEnd w:id="17"/>
    </w:p>
    <w:tbl>
      <w:tblPr>
        <w:tblStyle w:val="58"/>
        <w:tblW w:w="5000" w:type="pct"/>
        <w:tblInd w:w="74" w:type="dxa"/>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Layout w:type="fixed"/>
        <w:tblCellMar>
          <w:top w:w="0" w:type="dxa"/>
          <w:left w:w="108" w:type="dxa"/>
          <w:bottom w:w="0" w:type="dxa"/>
          <w:right w:w="108" w:type="dxa"/>
        </w:tblCellMar>
      </w:tblPr>
      <w:tblGrid>
        <w:gridCol w:w="1227"/>
        <w:gridCol w:w="30"/>
        <w:gridCol w:w="1094"/>
        <w:gridCol w:w="1876"/>
        <w:gridCol w:w="1876"/>
        <w:gridCol w:w="1876"/>
        <w:gridCol w:w="1876"/>
      </w:tblGrid>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10" w:hRule="atLeast"/>
        </w:trPr>
        <w:tc>
          <w:tcPr>
            <w:tcW w:w="9855" w:type="dxa"/>
            <w:gridSpan w:val="7"/>
            <w:tcBorders>
              <w:top w:val="single" w:color="5B9BD5" w:themeColor="accent5" w:sz="4" w:space="0"/>
              <w:left w:val="single" w:color="5B9BD5" w:themeColor="accent5" w:sz="4" w:space="0"/>
              <w:bottom w:val="single" w:color="FFFFFF" w:sz="24" w:space="0"/>
              <w:right w:val="single" w:color="5B9BD5" w:themeColor="accent5" w:sz="4" w:space="0"/>
              <w:insideV w:val="nil"/>
            </w:tcBorders>
            <w:shd w:val="clear" w:color="auto" w:fill="4472C4"/>
            <w:vAlign w:val="center"/>
          </w:tcPr>
          <w:p>
            <w:pPr>
              <w:snapToGrid w:val="0"/>
              <w:jc w:val="center"/>
              <w:rPr>
                <w:rFonts w:hAnsi="等线"/>
                <w:b/>
                <w:bCs w:val="0"/>
                <w:color w:val="000000"/>
                <w:szCs w:val="21"/>
              </w:rPr>
            </w:pPr>
            <w:bookmarkStart w:id="19" w:name="小结1"/>
            <w:r>
              <w:rPr>
                <w:rFonts w:hint="eastAsia" w:hAnsi="等线"/>
                <w:b/>
                <w:bCs/>
                <w:color w:val="FFFFFF"/>
                <w:sz w:val="24"/>
                <w:szCs w:val="24"/>
              </w:rPr>
              <w:t>靶向用药</w:t>
            </w:r>
            <w:r>
              <w:rPr>
                <w:rFonts w:hint="eastAsia" w:hAnsi="等线"/>
                <w:b/>
                <w:bCs/>
                <w:color w:val="FFFFFF"/>
                <w:sz w:val="24"/>
                <w:szCs w:val="24"/>
                <w:lang w:val="en-US" w:eastAsia="zh-CN"/>
              </w:rPr>
              <w:t>基因</w:t>
            </w:r>
            <w:r>
              <w:rPr>
                <w:rFonts w:hint="eastAsia" w:hAnsi="等线"/>
                <w:b/>
                <w:bCs/>
                <w:color w:val="FFFFFF"/>
                <w:sz w:val="24"/>
                <w:szCs w:val="24"/>
              </w:rPr>
              <w:t>检测结果</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10" w:hRule="atLeast"/>
        </w:trPr>
        <w:tc>
          <w:tcPr>
            <w:tcW w:w="1227"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b/>
                <w:bCs/>
                <w:szCs w:val="21"/>
              </w:rPr>
            </w:pPr>
            <w:r>
              <w:rPr>
                <w:rFonts w:hint="eastAsia" w:hAnsi="等线"/>
                <w:b w:val="0"/>
                <w:bCs w:val="0"/>
                <w:szCs w:val="21"/>
              </w:rPr>
              <w:t>结果统计</w:t>
            </w:r>
          </w:p>
        </w:tc>
        <w:tc>
          <w:tcPr>
            <w:tcW w:w="8628" w:type="dxa"/>
            <w:gridSpan w:val="6"/>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rPr>
                <w:rFonts w:hAnsi="等线"/>
                <w:sz w:val="24"/>
                <w:szCs w:val="24"/>
              </w:rPr>
            </w:pPr>
            <w:r>
              <w:rPr>
                <w:rFonts w:hint="eastAsia" w:hAnsi="等线"/>
                <w:szCs w:val="21"/>
              </w:rPr>
              <w:t xml:space="preserve">检出</w:t>
            </w:r>
            <w:r>
              <w:rPr>
                <w:rFonts w:hAnsi="等线"/>
                <w:szCs w:val="21"/>
              </w:rPr>
              <w:t xml:space="preserve"> 3</w:t>
            </w:r>
            <w:r>
              <w:rPr>
                <w:rFonts w:hAnsi="等线"/>
                <w:szCs w:val="21"/>
              </w:rPr>
              <w:t xml:space="preserve"> 个具有明确或潜在临床意义的基因变异。</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cantSplit/>
          <w:trHeight w:val="510" w:hRule="atLeast"/>
        </w:trPr>
        <w:tc>
          <w:tcPr>
            <w:tcW w:w="9855" w:type="dxa"/>
            <w:gridSpan w:val="7"/>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jc w:val="center"/>
              <w:rPr>
                <w:rFonts w:hAnsi="等线"/>
                <w:b/>
                <w:bCs w:val="0"/>
                <w:color w:val="000000"/>
                <w:szCs w:val="21"/>
              </w:rPr>
            </w:pPr>
            <w:r>
              <w:rPr>
                <w:rFonts w:hint="eastAsia" w:hAnsi="等线"/>
                <w:b/>
                <w:bCs/>
                <w:color w:val="FFFFFF"/>
                <w:sz w:val="24"/>
                <w:szCs w:val="24"/>
              </w:rPr>
              <w:t>靶向治疗提示</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cantSplit/>
          <w:trHeight w:val="510" w:hRule="atLeast"/>
        </w:trPr>
        <w:tc>
          <w:tcPr>
            <w:tcW w:w="1257" w:type="dxa"/>
            <w:gridSpan w:val="2"/>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jc w:val="center"/>
              <w:rPr>
                <w:rFonts w:hAnsi="等线" w:cs="宋体"/>
                <w:b/>
                <w:bCs w:val="0"/>
                <w:color w:val="FFFFFF"/>
                <w:sz w:val="18"/>
                <w:szCs w:val="18"/>
              </w:rPr>
            </w:pPr>
            <w:r>
              <w:rPr>
                <w:rFonts w:hint="eastAsia" w:hAnsi="等线" w:cs="宋体"/>
                <w:b/>
                <w:bCs/>
                <w:color w:val="FFFFFF"/>
                <w:sz w:val="18"/>
                <w:szCs w:val="18"/>
              </w:rPr>
              <w:t>基因突变</w:t>
            </w:r>
          </w:p>
        </w:tc>
        <w:tc>
          <w:tcPr>
            <w:tcW w:w="1094"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jc w:val="center"/>
              <w:rPr>
                <w:rFonts w:hAnsi="等线" w:cs="宋体"/>
                <w:b/>
                <w:color w:val="FFFFFF"/>
                <w:sz w:val="18"/>
                <w:szCs w:val="18"/>
              </w:rPr>
            </w:pPr>
            <w:r>
              <w:rPr>
                <w:rFonts w:hint="eastAsia" w:hAnsi="等线" w:cs="宋体"/>
                <w:b/>
                <w:color w:val="FFFFFF"/>
                <w:sz w:val="18"/>
                <w:szCs w:val="18"/>
              </w:rPr>
              <w:t>突变丰度/</w:t>
            </w:r>
          </w:p>
          <w:p>
            <w:pPr>
              <w:snapToGrid w:val="0"/>
              <w:jc w:val="center"/>
              <w:rPr>
                <w:rFonts w:hAnsi="等线" w:cs="宋体"/>
                <w:b/>
                <w:color w:val="FFFFFF"/>
                <w:sz w:val="18"/>
                <w:szCs w:val="18"/>
              </w:rPr>
            </w:pPr>
            <w:r>
              <w:rPr>
                <w:rFonts w:hint="eastAsia" w:hAnsi="等线" w:cs="宋体"/>
                <w:b/>
                <w:color w:val="FFFFFF"/>
                <w:sz w:val="18"/>
                <w:szCs w:val="18"/>
              </w:rPr>
              <w:t>拷贝数</w:t>
            </w:r>
          </w:p>
        </w:tc>
        <w:tc>
          <w:tcPr>
            <w:tcW w:w="1876"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jc w:val="center"/>
              <w:rPr>
                <w:rFonts w:hAnsi="等线" w:cs="宋体"/>
                <w:b/>
                <w:color w:val="FFFFFF"/>
                <w:sz w:val="18"/>
                <w:szCs w:val="18"/>
              </w:rPr>
            </w:pPr>
            <w:r>
              <w:rPr>
                <w:rFonts w:hint="eastAsia" w:hAnsi="等线" w:cs="宋体"/>
                <w:b/>
                <w:color w:val="FFFFFF"/>
                <w:sz w:val="18"/>
                <w:szCs w:val="18"/>
              </w:rPr>
              <w:t>FDA/NMPA/NCCN推荐本癌种药物</w:t>
            </w:r>
          </w:p>
        </w:tc>
        <w:tc>
          <w:tcPr>
            <w:tcW w:w="1876"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jc w:val="center"/>
              <w:rPr>
                <w:rFonts w:hAnsi="等线" w:cs="宋体"/>
                <w:b/>
                <w:color w:val="FFFFFF"/>
                <w:sz w:val="18"/>
                <w:szCs w:val="18"/>
              </w:rPr>
            </w:pPr>
            <w:r>
              <w:rPr>
                <w:rFonts w:hint="eastAsia" w:hAnsi="等线" w:cs="宋体"/>
                <w:b/>
                <w:color w:val="FFFFFF"/>
                <w:sz w:val="18"/>
                <w:szCs w:val="18"/>
              </w:rPr>
              <w:t>FDA/NMPA/NCCN推荐其他癌种药物</w:t>
            </w:r>
          </w:p>
        </w:tc>
        <w:tc>
          <w:tcPr>
            <w:tcW w:w="1876"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jc w:val="center"/>
              <w:rPr>
                <w:rFonts w:hAnsi="等线" w:cs="宋体"/>
                <w:b/>
                <w:color w:val="FFFFFF"/>
                <w:sz w:val="18"/>
                <w:szCs w:val="18"/>
              </w:rPr>
            </w:pPr>
            <w:r>
              <w:rPr>
                <w:rFonts w:hint="eastAsia" w:hAnsi="等线" w:cs="宋体"/>
                <w:b/>
                <w:color w:val="FFFFFF"/>
                <w:sz w:val="18"/>
                <w:szCs w:val="18"/>
              </w:rPr>
              <w:t>临床试验药物</w:t>
            </w:r>
          </w:p>
        </w:tc>
        <w:tc>
          <w:tcPr>
            <w:tcW w:w="1876"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jc w:val="center"/>
              <w:rPr>
                <w:rFonts w:hAnsi="等线" w:cs="宋体"/>
                <w:b/>
                <w:color w:val="FFFFFF"/>
                <w:sz w:val="18"/>
                <w:szCs w:val="18"/>
              </w:rPr>
            </w:pPr>
            <w:r>
              <w:rPr>
                <w:rFonts w:hint="eastAsia" w:hAnsi="等线" w:cs="宋体"/>
                <w:b/>
                <w:color w:val="FFFFFF"/>
                <w:sz w:val="18"/>
                <w:szCs w:val="18"/>
              </w:rPr>
              <w:t xml:space="preserve">潜在耐药药物</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257" w:type="dxa"/>
            <w:gridSpan w:val="2"/>
            <w:tcBorders>
              <w:top w:val="single" w:color="FFFFFF" w:sz="24" w:space="0"/>
              <w:left w:val="single" w:color="FFFFFF" w:sz="24" w:space="0"/>
              <w:bottom w:val="single" w:color="FFFFFF" w:sz="24" w:space="0"/>
              <w:right w:val="single" w:color="FFFFFF" w:sz="24" w:space="0"/>
            </w:tcBorders>
            <w:shd w:val="clear" w:color="auto" w:fill="F2F2F2"/>
            <w:vAlign w:val="center"/>
          </w:tcPr>
          <w:p>
            <w:pPr>
              <w:pStyle w:val="18"/>
              <w:widowControl w:val="0"/>
              <w:spacing w:before="0" w:beforeAutospacing="0" w:after="0" w:afterAutospacing="0" w:line="276" w:lineRule="auto"/>
              <w:jc w:val="center"/>
              <w:rPr>
                <w:rFonts w:hint="eastAsia" w:hAnsi="等线" w:eastAsia="等线"/>
                <w:b/>
                <w:bCs w:val="0"/>
                <w:i w:val="0"/>
                <w:iCs/>
                <w:color w:val="404040"/>
                <w:sz w:val="18"/>
                <w:szCs w:val="18"/>
                <w:lang w:eastAsia="zh-CN"/>
              </w:rPr>
            </w:pPr>
            <w:r>
              <w:rPr>
                <w:rFonts w:hint="eastAsia" w:ascii="等线" w:hAnsi="等线"/>
                <w:b/>
                <w:bCs w:val="0"/>
                <w:i w:val="0"/>
                <w:iCs/>
                <w:color w:val="404040"/>
                <w:kern w:val="2"/>
                <w:sz w:val="18"/>
                <w:szCs w:val="18"/>
                <w:lang w:bidi="ar"/>
              </w:rPr>
              <w:t xml:space="preserve">KRAS</w:t>
            </w:r>
          </w:p>
          <w:p>
            <w:pPr>
              <w:widowControl/>
              <w:jc w:val="center"/>
              <w:rPr>
                <w:rFonts w:hint="eastAsia" w:hAnsi="等线" w:cs="宋体"/>
                <w:b/>
                <w:bCs/>
                <w:i w:val="0"/>
                <w:iCs/>
                <w:color w:val="404040"/>
                <w:sz w:val="18"/>
                <w:szCs w:val="18"/>
                <w:lang w:eastAsia="zh-CN" w:bidi="ar"/>
              </w:rPr>
            </w:pPr>
            <w:r>
              <w:rPr>
                <w:rFonts w:hint="eastAsia" w:hAnsi="等线" w:cs="宋体"/>
                <w:b/>
                <w:bCs/>
                <w:i w:val="0"/>
                <w:iCs/>
                <w:color w:val="404040"/>
                <w:sz w:val="18"/>
                <w:szCs w:val="18"/>
                <w:lang w:bidi="ar"/>
              </w:rPr>
              <w:t xml:space="preserve">p.G12V</w:t>
            </w:r>
          </w:p>
        </w:tc>
        <w:tc>
          <w:tcPr>
            <w:tcW w:w="10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eastAsia" w:hAnsi="等线" w:eastAsia="等线" w:cs="宋体"/>
                <w:color w:val="000000"/>
                <w:sz w:val="18"/>
                <w:szCs w:val="18"/>
                <w:lang w:eastAsia="zh-CN"/>
              </w:rPr>
            </w:pPr>
            <w:r>
              <w:rPr>
                <w:rFonts w:hint="eastAsia" w:hAnsi="等线" w:cs="宋体"/>
                <w:color w:val="404040"/>
                <w:sz w:val="18"/>
                <w:szCs w:val="18"/>
                <w:lang w:bidi="ar"/>
              </w:rPr>
              <w:t xml:space="preserve">22.18%</w:t>
            </w:r>
          </w:p>
        </w:tc>
        <w:tc>
          <w:tcPr>
            <w:tcW w:w="187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default" w:hAnsi="等线" w:cs="宋体"/>
                <w:color w:val="404040"/>
                <w:sz w:val="18"/>
                <w:szCs w:val="18"/>
                <w:lang w:val="en-US" w:eastAsia="zh-CN" w:bidi="ar"/>
              </w:rPr>
            </w:pPr>
            <w:r>
              <w:rPr>
                <w:rFonts w:hint="eastAsia" w:hAnsi="等线" w:cs="宋体"/>
                <w:color w:val="404040"/>
                <w:sz w:val="18"/>
                <w:szCs w:val="18"/>
                <w:lang w:val="en-US" w:eastAsia="zh-CN" w:bidi="ar"/>
              </w:rPr>
              <w:t>/</w:t>
            </w:r>
          </w:p>
        </w:tc>
        <w:tc>
          <w:tcPr>
            <w:tcW w:w="187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eastAsia" w:hAnsi="等线" w:cs="宋体"/>
                <w:color w:val="404040"/>
                <w:sz w:val="18"/>
                <w:szCs w:val="18"/>
                <w:lang w:eastAsia="zh-CN" w:bidi="ar"/>
              </w:rPr>
            </w:pPr>
            <w:r>
              <w:rPr>
                <w:rFonts w:hint="eastAsia" w:hAnsi="等线" w:cs="宋体"/>
                <w:color w:val="404040"/>
                <w:sz w:val="18"/>
                <w:szCs w:val="18"/>
                <w:lang w:val="en-US" w:eastAsia="zh-CN" w:bidi="ar"/>
              </w:rPr>
              <w:t>/</w:t>
            </w:r>
          </w:p>
        </w:tc>
        <w:tc>
          <w:tcPr>
            <w:tcW w:w="187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eastAsia" w:hAnsi="等线" w:cs="宋体"/>
                <w:color w:val="404040"/>
                <w:sz w:val="18"/>
                <w:szCs w:val="18"/>
                <w:lang w:eastAsia="zh-CN" w:bidi="ar"/>
              </w:rPr>
            </w:pPr>
            <w:r>
              <w:rPr>
                <w:rFonts w:hint="eastAsia" w:hAnsi="等线" w:cs="宋体"/>
                <w:color w:val="404040"/>
                <w:sz w:val="18"/>
                <w:szCs w:val="18"/>
                <w:lang w:bidi="ar"/>
              </w:rPr>
              <w:t xml:space="preserve">考比替尼 + Ipatasertib 【C 级】</w:t>
              <w:br/>
              <w:t xml:space="preserve">贝美替尼 【C 级】</w:t>
              <w:br/>
              <w:t xml:space="preserve">曲美替尼 【D 级】</w:t>
              <w:br/>
              <w:t xml:space="preserve">RMC-6236 【D 级】</w:t>
            </w:r>
          </w:p>
        </w:tc>
        <w:tc>
          <w:tcPr>
            <w:tcW w:w="187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eastAsia" w:hAnsi="等线" w:cs="宋体"/>
                <w:color w:val="404040"/>
                <w:sz w:val="18"/>
                <w:szCs w:val="18"/>
                <w:lang w:eastAsia="zh-CN" w:bidi="ar"/>
              </w:rPr>
            </w:pPr>
            <w:r>
              <w:rPr>
                <w:rFonts w:hint="eastAsia" w:hAnsi="等线" w:cs="宋体"/>
                <w:color w:val="404040"/>
                <w:sz w:val="18"/>
                <w:szCs w:val="18"/>
                <w:lang w:bidi="ar"/>
              </w:rPr>
              <w:t xml:space="preserve">西妥昔单抗 【C 级】</w:t>
              <w:br/>
              <w:t xml:space="preserve">曲妥珠单抗 + 妥卡替尼 【C 级】</w:t>
              <w:br/>
              <w:t xml:space="preserve">帕尼单抗 【C 级】</w:t>
              <w:br/>
              <w:t xml:space="preserve">曲妥珠单抗 + 帕妥珠单抗,曲妥珠单抗 + 拉帕替尼,trastuzumab deruxtecan 【C 级】</w:t>
              <w:br/>
              <w:t xml:space="preserve">EGFR-TKI 【C 级】</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257" w:type="dxa"/>
            <w:gridSpan w:val="2"/>
            <w:tcBorders>
              <w:top w:val="single" w:color="FFFFFF" w:sz="24" w:space="0"/>
              <w:left w:val="single" w:color="FFFFFF" w:sz="24" w:space="0"/>
              <w:bottom w:val="single" w:color="FFFFFF" w:sz="24" w:space="0"/>
              <w:right w:val="single" w:color="FFFFFF" w:sz="24" w:space="0"/>
            </w:tcBorders>
            <w:shd w:val="clear" w:color="auto" w:fill="F2F2F2"/>
            <w:vAlign w:val="center"/>
          </w:tcPr>
          <w:p>
            <w:pPr>
              <w:pStyle w:val="18"/>
              <w:widowControl w:val="0"/>
              <w:spacing w:before="0" w:beforeAutospacing="0" w:after="0" w:afterAutospacing="0" w:line="276" w:lineRule="auto"/>
              <w:jc w:val="center"/>
              <w:rPr>
                <w:rFonts w:hint="eastAsia" w:hAnsi="等线" w:eastAsia="等线"/>
                <w:b/>
                <w:bCs w:val="0"/>
                <w:i w:val="0"/>
                <w:iCs/>
                <w:color w:val="404040"/>
                <w:sz w:val="18"/>
                <w:szCs w:val="18"/>
                <w:lang w:eastAsia="zh-CN"/>
              </w:rPr>
            </w:pPr>
            <w:r>
              <w:rPr>
                <w:rFonts w:hint="eastAsia" w:ascii="等线" w:hAnsi="等线"/>
                <w:b/>
                <w:bCs w:val="0"/>
                <w:i w:val="0"/>
                <w:iCs/>
                <w:color w:val="404040"/>
                <w:kern w:val="2"/>
                <w:sz w:val="18"/>
                <w:szCs w:val="18"/>
                <w:lang w:bidi="ar"/>
              </w:rPr>
              <w:t xml:space="preserve">PIK3CA</w:t>
            </w:r>
          </w:p>
          <w:p>
            <w:pPr>
              <w:widowControl/>
              <w:jc w:val="center"/>
              <w:rPr>
                <w:rFonts w:hint="eastAsia" w:hAnsi="等线" w:cs="宋体"/>
                <w:b/>
                <w:bCs/>
                <w:i w:val="0"/>
                <w:iCs/>
                <w:color w:val="404040"/>
                <w:sz w:val="18"/>
                <w:szCs w:val="18"/>
                <w:lang w:eastAsia="zh-CN" w:bidi="ar"/>
              </w:rPr>
            </w:pPr>
            <w:r>
              <w:rPr>
                <w:rFonts w:hint="eastAsia" w:hAnsi="等线" w:cs="宋体"/>
                <w:b/>
                <w:bCs/>
                <w:i w:val="0"/>
                <w:iCs/>
                <w:color w:val="404040"/>
                <w:sz w:val="18"/>
                <w:szCs w:val="18"/>
                <w:lang w:bidi="ar"/>
              </w:rPr>
              <w:t xml:space="preserve">p.Q546K</w:t>
            </w:r>
          </w:p>
        </w:tc>
        <w:tc>
          <w:tcPr>
            <w:tcW w:w="10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eastAsia" w:hAnsi="等线" w:eastAsia="等线" w:cs="宋体"/>
                <w:color w:val="000000"/>
                <w:sz w:val="18"/>
                <w:szCs w:val="18"/>
                <w:lang w:eastAsia="zh-CN"/>
              </w:rPr>
            </w:pPr>
            <w:r>
              <w:rPr>
                <w:rFonts w:hint="eastAsia" w:hAnsi="等线" w:cs="宋体"/>
                <w:color w:val="404040"/>
                <w:sz w:val="18"/>
                <w:szCs w:val="18"/>
                <w:lang w:bidi="ar"/>
              </w:rPr>
              <w:t xml:space="preserve">2.4%</w:t>
            </w:r>
          </w:p>
        </w:tc>
        <w:tc>
          <w:tcPr>
            <w:tcW w:w="187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default" w:hAnsi="等线" w:cs="宋体"/>
                <w:color w:val="404040"/>
                <w:sz w:val="18"/>
                <w:szCs w:val="18"/>
                <w:lang w:val="en-US" w:eastAsia="zh-CN" w:bidi="ar"/>
              </w:rPr>
            </w:pPr>
            <w:r>
              <w:rPr>
                <w:rFonts w:hint="eastAsia" w:hAnsi="等线" w:cs="宋体"/>
                <w:color w:val="404040"/>
                <w:sz w:val="18"/>
                <w:szCs w:val="18"/>
                <w:lang w:val="en-US" w:eastAsia="zh-CN" w:bidi="ar"/>
              </w:rPr>
              <w:t>/</w:t>
            </w:r>
          </w:p>
        </w:tc>
        <w:tc>
          <w:tcPr>
            <w:tcW w:w="187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eastAsia" w:hAnsi="等线" w:cs="宋体"/>
                <w:color w:val="404040"/>
                <w:sz w:val="18"/>
                <w:szCs w:val="18"/>
                <w:lang w:eastAsia="zh-CN" w:bidi="ar"/>
              </w:rPr>
            </w:pPr>
            <w:r>
              <w:rPr>
                <w:rFonts w:hint="eastAsia" w:hAnsi="等线" w:cs="宋体"/>
                <w:color w:val="404040"/>
                <w:sz w:val="18"/>
                <w:szCs w:val="18"/>
                <w:lang w:val="en-US" w:eastAsia="zh-CN" w:bidi="ar"/>
              </w:rPr>
              <w:t>/</w:t>
            </w:r>
          </w:p>
        </w:tc>
        <w:tc>
          <w:tcPr>
            <w:tcW w:w="187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eastAsia" w:hAnsi="等线" w:cs="宋体"/>
                <w:color w:val="404040"/>
                <w:sz w:val="18"/>
                <w:szCs w:val="18"/>
                <w:lang w:eastAsia="zh-CN" w:bidi="ar"/>
              </w:rPr>
            </w:pPr>
            <w:r>
              <w:rPr>
                <w:rFonts w:hint="eastAsia" w:hAnsi="等线" w:cs="宋体"/>
                <w:color w:val="404040"/>
                <w:sz w:val="18"/>
                <w:szCs w:val="18"/>
                <w:lang w:bidi="ar"/>
              </w:rPr>
              <w:t xml:space="preserve">阿培利司 【C 级】</w:t>
              <w:br/>
              <w:t xml:space="preserve">RLY-2608 【D 级】</w:t>
            </w:r>
          </w:p>
        </w:tc>
        <w:tc>
          <w:tcPr>
            <w:tcW w:w="187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eastAsia" w:hAnsi="等线" w:cs="宋体"/>
                <w:color w:val="404040"/>
                <w:sz w:val="18"/>
                <w:szCs w:val="18"/>
                <w:lang w:eastAsia="zh-CN" w:bidi="ar"/>
              </w:rPr>
            </w:pPr>
            <w:r>
              <w:rPr>
                <w:rFonts w:hint="eastAsia" w:hAnsi="等线" w:cs="宋体"/>
                <w:color w:val="404040"/>
                <w:sz w:val="18"/>
                <w:szCs w:val="18"/>
                <w:lang w:val="en-US" w:eastAsia="zh-CN" w:bidi="ar"/>
              </w:rPr>
              <w:t>/</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257" w:type="dxa"/>
            <w:gridSpan w:val="2"/>
            <w:tcBorders>
              <w:top w:val="single" w:color="FFFFFF" w:sz="24" w:space="0"/>
              <w:left w:val="single" w:color="FFFFFF" w:sz="24" w:space="0"/>
              <w:bottom w:val="single" w:color="FFFFFF" w:sz="24" w:space="0"/>
              <w:right w:val="single" w:color="FFFFFF" w:sz="24" w:space="0"/>
            </w:tcBorders>
            <w:shd w:val="clear" w:color="auto" w:fill="F2F2F2"/>
            <w:vAlign w:val="center"/>
          </w:tcPr>
          <w:p>
            <w:pPr>
              <w:pStyle w:val="18"/>
              <w:widowControl w:val="0"/>
              <w:spacing w:before="0" w:beforeAutospacing="0" w:after="0" w:afterAutospacing="0" w:line="276" w:lineRule="auto"/>
              <w:jc w:val="center"/>
              <w:rPr>
                <w:rFonts w:hint="eastAsia" w:hAnsi="等线" w:eastAsia="等线"/>
                <w:b/>
                <w:bCs w:val="0"/>
                <w:i w:val="0"/>
                <w:iCs/>
                <w:color w:val="404040"/>
                <w:sz w:val="18"/>
                <w:szCs w:val="18"/>
                <w:lang w:eastAsia="zh-CN"/>
              </w:rPr>
            </w:pPr>
            <w:r>
              <w:rPr>
                <w:rFonts w:hint="eastAsia" w:ascii="等线" w:hAnsi="等线"/>
                <w:b/>
                <w:bCs w:val="0"/>
                <w:i w:val="0"/>
                <w:iCs/>
                <w:color w:val="404040"/>
                <w:kern w:val="2"/>
                <w:sz w:val="18"/>
                <w:szCs w:val="18"/>
                <w:lang w:bidi="ar"/>
              </w:rPr>
              <w:t xml:space="preserve">TP53</w:t>
            </w:r>
          </w:p>
          <w:p>
            <w:pPr>
              <w:widowControl/>
              <w:jc w:val="center"/>
              <w:rPr>
                <w:rFonts w:hint="eastAsia" w:hAnsi="等线" w:cs="宋体"/>
                <w:b/>
                <w:bCs/>
                <w:i w:val="0"/>
                <w:iCs/>
                <w:color w:val="404040"/>
                <w:sz w:val="18"/>
                <w:szCs w:val="18"/>
                <w:lang w:eastAsia="zh-CN" w:bidi="ar"/>
              </w:rPr>
            </w:pPr>
            <w:r>
              <w:rPr>
                <w:rFonts w:hint="eastAsia" w:hAnsi="等线" w:cs="宋体"/>
                <w:b/>
                <w:bCs/>
                <w:i w:val="0"/>
                <w:iCs/>
                <w:color w:val="404040"/>
                <w:sz w:val="18"/>
                <w:szCs w:val="18"/>
                <w:lang w:bidi="ar"/>
              </w:rPr>
              <w:t xml:space="preserve">p.V73Rfs*76</w:t>
            </w:r>
          </w:p>
        </w:tc>
        <w:tc>
          <w:tcPr>
            <w:tcW w:w="10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eastAsia" w:hAnsi="等线" w:eastAsia="等线" w:cs="宋体"/>
                <w:color w:val="000000"/>
                <w:sz w:val="18"/>
                <w:szCs w:val="18"/>
                <w:lang w:eastAsia="zh-CN"/>
              </w:rPr>
            </w:pPr>
            <w:r>
              <w:rPr>
                <w:rFonts w:hint="eastAsia" w:hAnsi="等线" w:cs="宋体"/>
                <w:color w:val="404040"/>
                <w:sz w:val="18"/>
                <w:szCs w:val="18"/>
                <w:lang w:bidi="ar"/>
              </w:rPr>
              <w:t xml:space="preserve">27.53%</w:t>
            </w:r>
          </w:p>
        </w:tc>
        <w:tc>
          <w:tcPr>
            <w:tcW w:w="187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default" w:hAnsi="等线" w:cs="宋体"/>
                <w:color w:val="404040"/>
                <w:sz w:val="18"/>
                <w:szCs w:val="18"/>
                <w:lang w:val="en-US" w:eastAsia="zh-CN" w:bidi="ar"/>
              </w:rPr>
            </w:pPr>
            <w:r>
              <w:rPr>
                <w:rFonts w:hint="eastAsia" w:hAnsi="等线" w:cs="宋体"/>
                <w:color w:val="404040"/>
                <w:sz w:val="18"/>
                <w:szCs w:val="18"/>
                <w:lang w:val="en-US" w:eastAsia="zh-CN" w:bidi="ar"/>
              </w:rPr>
              <w:t>/</w:t>
            </w:r>
          </w:p>
        </w:tc>
        <w:tc>
          <w:tcPr>
            <w:tcW w:w="187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eastAsia" w:hAnsi="等线" w:cs="宋体"/>
                <w:color w:val="404040"/>
                <w:sz w:val="18"/>
                <w:szCs w:val="18"/>
                <w:lang w:eastAsia="zh-CN" w:bidi="ar"/>
              </w:rPr>
            </w:pPr>
            <w:r>
              <w:rPr>
                <w:rFonts w:hint="eastAsia" w:hAnsi="等线" w:cs="宋体"/>
                <w:color w:val="404040"/>
                <w:sz w:val="18"/>
                <w:szCs w:val="18"/>
                <w:lang w:val="en-US" w:eastAsia="zh-CN" w:bidi="ar"/>
              </w:rPr>
              <w:t>/</w:t>
            </w:r>
          </w:p>
        </w:tc>
        <w:tc>
          <w:tcPr>
            <w:tcW w:w="187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eastAsia" w:hAnsi="等线" w:cs="宋体"/>
                <w:color w:val="404040"/>
                <w:sz w:val="18"/>
                <w:szCs w:val="18"/>
                <w:lang w:eastAsia="zh-CN" w:bidi="ar"/>
              </w:rPr>
            </w:pPr>
            <w:r>
              <w:rPr>
                <w:rFonts w:hint="eastAsia" w:hAnsi="等线" w:cs="宋体"/>
                <w:color w:val="404040"/>
                <w:sz w:val="18"/>
                <w:szCs w:val="18"/>
                <w:lang w:bidi="ar"/>
              </w:rPr>
              <w:t xml:space="preserve">培唑帕尼 + 伏立诺他 【C 级】</w:t>
              <w:br/>
              <w:t xml:space="preserve">贝伐珠单抗 【C 级】</w:t>
            </w:r>
          </w:p>
        </w:tc>
        <w:tc>
          <w:tcPr>
            <w:tcW w:w="187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eastAsia" w:hAnsi="等线" w:cs="宋体"/>
                <w:color w:val="404040"/>
                <w:sz w:val="18"/>
                <w:szCs w:val="18"/>
                <w:lang w:eastAsia="zh-CN" w:bidi="ar"/>
              </w:rPr>
            </w:pPr>
            <w:r>
              <w:rPr>
                <w:rFonts w:hint="eastAsia" w:hAnsi="等线" w:cs="宋体"/>
                <w:color w:val="404040"/>
                <w:sz w:val="18"/>
                <w:szCs w:val="18"/>
                <w:lang w:val="en-US" w:eastAsia="zh-CN" w:bidi="ar"/>
              </w:rPr>
              <w:t>/</w:t>
            </w:r>
          </w:p>
        </w:tc>
      </w:tr>
      <w:bookmarkEnd w:id="19"/>
    </w:tbl>
    <w:p/>
    <w:p>
      <w:pPr>
        <w:rPr>
          <w:rFonts w:hAnsi="等线"/>
        </w:rPr>
      </w:pPr>
    </w:p>
    <w:p>
      <w:pPr>
        <w:snapToGrid w:val="0"/>
        <w:spacing w:after="156" w:afterLines="50"/>
        <w:jc w:val="left"/>
        <w:rPr>
          <w:rFonts w:hAnsi="等线"/>
          <w:b/>
          <w:bCs/>
          <w:szCs w:val="21"/>
        </w:rPr>
      </w:pPr>
      <w:r>
        <w:rPr>
          <w:rFonts w:hint="eastAsia" w:hAnsi="等线"/>
          <w:b/>
          <w:bCs/>
          <w:szCs w:val="21"/>
        </w:rPr>
        <w:t>说明：</w:t>
      </w:r>
    </w:p>
    <w:p>
      <w:pPr>
        <w:pStyle w:val="38"/>
        <w:keepNext w:val="0"/>
        <w:keepLines w:val="0"/>
        <w:pageBreakBefore w:val="0"/>
        <w:widowControl w:val="0"/>
        <w:numPr>
          <w:ilvl w:val="0"/>
          <w:numId w:val="2"/>
        </w:numPr>
        <w:kinsoku/>
        <w:wordWrap/>
        <w:overflowPunct/>
        <w:topLinePunct w:val="0"/>
        <w:autoSpaceDE/>
        <w:autoSpaceDN/>
        <w:bidi w:val="0"/>
        <w:adjustRightInd/>
        <w:snapToGrid w:val="0"/>
        <w:spacing w:line="300" w:lineRule="auto"/>
        <w:ind w:left="420" w:hanging="420" w:firstLineChars="0"/>
        <w:jc w:val="left"/>
        <w:textAlignment w:val="auto"/>
        <w:rPr>
          <w:rFonts w:hAnsi="等线"/>
          <w:sz w:val="18"/>
          <w:szCs w:val="18"/>
        </w:rPr>
      </w:pPr>
      <w:r>
        <w:rPr>
          <w:rFonts w:hint="eastAsia" w:hAnsi="等线"/>
          <w:sz w:val="18"/>
          <w:szCs w:val="18"/>
        </w:rPr>
        <w:t>本报告参考美国病理学会(</w:t>
      </w:r>
      <w:r>
        <w:rPr>
          <w:rFonts w:hAnsi="等线"/>
          <w:sz w:val="18"/>
          <w:szCs w:val="18"/>
        </w:rPr>
        <w:t>AMP)</w:t>
      </w:r>
      <w:r>
        <w:rPr>
          <w:rFonts w:hint="eastAsia" w:hAnsi="等线"/>
          <w:sz w:val="18"/>
          <w:szCs w:val="18"/>
        </w:rPr>
        <w:t>、美国临床肿瘤学会(</w:t>
      </w:r>
      <w:r>
        <w:rPr>
          <w:rFonts w:hAnsi="等线"/>
          <w:sz w:val="18"/>
          <w:szCs w:val="18"/>
        </w:rPr>
        <w:t>ASCO)</w:t>
      </w:r>
      <w:r>
        <w:rPr>
          <w:rFonts w:hint="eastAsia" w:hAnsi="等线"/>
          <w:sz w:val="18"/>
          <w:szCs w:val="18"/>
        </w:rPr>
        <w:t>和美国病理学家学会(</w:t>
      </w:r>
      <w:r>
        <w:rPr>
          <w:rFonts w:hAnsi="等线"/>
          <w:sz w:val="18"/>
          <w:szCs w:val="18"/>
        </w:rPr>
        <w:t>CAP)</w:t>
      </w:r>
      <w:r>
        <w:rPr>
          <w:rFonts w:hint="eastAsia" w:hAnsi="等线"/>
          <w:sz w:val="18"/>
          <w:szCs w:val="18"/>
        </w:rPr>
        <w:t>共同参与制定的癌症序列变异解读与报告标准指南 (2</w:t>
      </w:r>
      <w:r>
        <w:rPr>
          <w:rFonts w:hAnsi="等线"/>
          <w:sz w:val="18"/>
          <w:szCs w:val="18"/>
        </w:rPr>
        <w:t>017</w:t>
      </w:r>
      <w:r>
        <w:rPr>
          <w:rFonts w:hint="eastAsia" w:hAnsi="等线"/>
          <w:sz w:val="18"/>
          <w:szCs w:val="18"/>
        </w:rPr>
        <w:t>年版)</w:t>
      </w:r>
      <w:r>
        <w:rPr>
          <w:rFonts w:hAnsi="等线"/>
          <w:sz w:val="18"/>
          <w:szCs w:val="18"/>
        </w:rPr>
        <w:t xml:space="preserve"> </w:t>
      </w:r>
      <w:r>
        <w:rPr>
          <w:rFonts w:hint="eastAsia" w:hAnsi="等线"/>
          <w:sz w:val="18"/>
          <w:szCs w:val="18"/>
        </w:rPr>
        <w:t>以及中国临床肿瘤学会(</w:t>
      </w:r>
      <w:r>
        <w:rPr>
          <w:rFonts w:hAnsi="等线"/>
          <w:sz w:val="18"/>
          <w:szCs w:val="18"/>
        </w:rPr>
        <w:t>CSCO</w:t>
      </w:r>
      <w:r>
        <w:rPr>
          <w:rFonts w:hint="eastAsia" w:hAnsi="等线"/>
          <w:sz w:val="18"/>
          <w:szCs w:val="18"/>
        </w:rPr>
        <w:t>)</w:t>
      </w:r>
      <w:r>
        <w:rPr>
          <w:rFonts w:hAnsi="等线"/>
          <w:sz w:val="18"/>
          <w:szCs w:val="18"/>
        </w:rPr>
        <w:t>肿瘤生物标志物专家委员会</w:t>
      </w:r>
      <w:r>
        <w:rPr>
          <w:rFonts w:hint="eastAsia" w:hAnsi="等线"/>
          <w:sz w:val="18"/>
          <w:szCs w:val="18"/>
        </w:rPr>
        <w:t>组织撰写的《肿瘤二代测序临床报告解读共识》(2</w:t>
      </w:r>
      <w:r>
        <w:rPr>
          <w:rFonts w:hAnsi="等线"/>
          <w:sz w:val="18"/>
          <w:szCs w:val="18"/>
        </w:rPr>
        <w:t>022</w:t>
      </w:r>
      <w:r>
        <w:rPr>
          <w:rFonts w:hint="eastAsia" w:hAnsi="等线"/>
          <w:sz w:val="18"/>
          <w:szCs w:val="18"/>
        </w:rPr>
        <w:t>年版)，根据生物标志物的药物敏感性证据级别，将体细胞变异分为I~I</w:t>
      </w:r>
      <w:r>
        <w:rPr>
          <w:rFonts w:hAnsi="等线"/>
          <w:sz w:val="18"/>
          <w:szCs w:val="18"/>
        </w:rPr>
        <w:t>V</w:t>
      </w:r>
      <w:r>
        <w:rPr>
          <w:rFonts w:hint="eastAsia" w:hAnsi="等线"/>
          <w:sz w:val="18"/>
          <w:szCs w:val="18"/>
        </w:rPr>
        <w:t>类变异：</w:t>
      </w:r>
    </w:p>
    <w:tbl>
      <w:tblPr>
        <w:tblStyle w:val="21"/>
        <w:tblW w:w="4800" w:type="pct"/>
        <w:jc w:val="right"/>
        <w:tblBorders>
          <w:top w:val="single" w:color="4472C4" w:sz="4" w:space="0"/>
          <w:left w:val="none" w:color="auto" w:sz="0" w:space="0"/>
          <w:bottom w:val="single" w:color="4472C4" w:sz="4" w:space="0"/>
          <w:right w:val="none" w:color="auto" w:sz="0" w:space="0"/>
          <w:insideH w:val="single" w:color="4472C4" w:sz="4" w:space="0"/>
          <w:insideV w:val="single" w:color="4472C4" w:sz="4" w:space="0"/>
        </w:tblBorders>
        <w:tblLayout w:type="autofit"/>
        <w:tblCellMar>
          <w:top w:w="0" w:type="dxa"/>
          <w:left w:w="108" w:type="dxa"/>
          <w:bottom w:w="0" w:type="dxa"/>
          <w:right w:w="108" w:type="dxa"/>
        </w:tblCellMar>
      </w:tblPr>
      <w:tblGrid>
        <w:gridCol w:w="427"/>
        <w:gridCol w:w="1081"/>
        <w:gridCol w:w="7953"/>
      </w:tblGrid>
      <w:tr>
        <w:tblPrEx>
          <w:tblBorders>
            <w:top w:val="single" w:color="4472C4" w:sz="4" w:space="0"/>
            <w:left w:val="none" w:color="auto" w:sz="0" w:space="0"/>
            <w:bottom w:val="single" w:color="4472C4" w:sz="4" w:space="0"/>
            <w:right w:val="none" w:color="auto" w:sz="0" w:space="0"/>
            <w:insideH w:val="single" w:color="4472C4" w:sz="4" w:space="0"/>
            <w:insideV w:val="single" w:color="4472C4" w:sz="4" w:space="0"/>
          </w:tblBorders>
          <w:tblCellMar>
            <w:top w:w="0" w:type="dxa"/>
            <w:left w:w="108" w:type="dxa"/>
            <w:bottom w:w="0" w:type="dxa"/>
            <w:right w:w="108" w:type="dxa"/>
          </w:tblCellMar>
        </w:tblPrEx>
        <w:trPr>
          <w:trHeight w:val="170" w:hRule="atLeast"/>
          <w:jc w:val="right"/>
        </w:trPr>
        <w:tc>
          <w:tcPr>
            <w:tcW w:w="1508" w:type="dxa"/>
            <w:gridSpan w:val="2"/>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jc w:val="center"/>
              <w:textAlignment w:val="auto"/>
              <w:rPr>
                <w:rFonts w:hAnsi="等线"/>
                <w:sz w:val="18"/>
                <w:szCs w:val="18"/>
                <w:lang w:val="zh-CN"/>
              </w:rPr>
            </w:pPr>
            <w:r>
              <w:rPr>
                <w:rFonts w:hint="eastAsia" w:hAnsi="等线"/>
                <w:sz w:val="18"/>
                <w:szCs w:val="18"/>
                <w:lang w:val="zh-CN"/>
              </w:rPr>
              <w:t>证据分级</w:t>
            </w:r>
          </w:p>
        </w:tc>
        <w:tc>
          <w:tcPr>
            <w:tcW w:w="7953" w:type="dxa"/>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jc w:val="center"/>
              <w:textAlignment w:val="auto"/>
              <w:rPr>
                <w:rFonts w:hAnsi="等线"/>
                <w:sz w:val="18"/>
                <w:szCs w:val="18"/>
                <w:lang w:val="zh-CN"/>
              </w:rPr>
            </w:pPr>
            <w:r>
              <w:rPr>
                <w:rFonts w:hint="eastAsia" w:hAnsi="等线"/>
                <w:sz w:val="18"/>
                <w:szCs w:val="18"/>
                <w:lang w:val="zh-CN"/>
              </w:rPr>
              <w:t>药物敏感性证据</w:t>
            </w:r>
          </w:p>
        </w:tc>
      </w:tr>
      <w:tr>
        <w:tblPrEx>
          <w:tblBorders>
            <w:top w:val="single" w:color="4472C4" w:sz="4" w:space="0"/>
            <w:left w:val="none" w:color="auto" w:sz="0" w:space="0"/>
            <w:bottom w:val="single" w:color="4472C4" w:sz="4" w:space="0"/>
            <w:right w:val="none" w:color="auto" w:sz="0" w:space="0"/>
            <w:insideH w:val="single" w:color="4472C4" w:sz="4" w:space="0"/>
            <w:insideV w:val="single" w:color="4472C4" w:sz="4" w:space="0"/>
          </w:tblBorders>
          <w:tblCellMar>
            <w:top w:w="0" w:type="dxa"/>
            <w:left w:w="108" w:type="dxa"/>
            <w:bottom w:w="0" w:type="dxa"/>
            <w:right w:w="108" w:type="dxa"/>
          </w:tblCellMar>
        </w:tblPrEx>
        <w:trPr>
          <w:trHeight w:val="170" w:hRule="atLeast"/>
          <w:jc w:val="right"/>
        </w:trPr>
        <w:tc>
          <w:tcPr>
            <w:tcW w:w="9461" w:type="dxa"/>
            <w:gridSpan w:val="3"/>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textAlignment w:val="auto"/>
              <w:rPr>
                <w:rFonts w:hAnsi="等线"/>
                <w:sz w:val="18"/>
                <w:szCs w:val="18"/>
              </w:rPr>
            </w:pPr>
            <w:r>
              <w:rPr>
                <w:rFonts w:hAnsi="等线"/>
                <w:sz w:val="18"/>
                <w:szCs w:val="18"/>
                <w:lang w:val="zh-CN"/>
              </w:rPr>
              <w:t>-</w:t>
            </w:r>
            <w:r>
              <w:rPr>
                <w:rFonts w:hint="eastAsia" w:hAnsi="等线"/>
                <w:sz w:val="18"/>
                <w:szCs w:val="18"/>
              </w:rPr>
              <w:t>Ⅰ类变异（具有重要的临床意义）：</w:t>
            </w:r>
          </w:p>
        </w:tc>
      </w:tr>
      <w:tr>
        <w:tblPrEx>
          <w:tblBorders>
            <w:top w:val="single" w:color="4472C4" w:sz="4" w:space="0"/>
            <w:left w:val="none" w:color="auto" w:sz="0" w:space="0"/>
            <w:bottom w:val="single" w:color="4472C4" w:sz="4" w:space="0"/>
            <w:right w:val="none" w:color="auto" w:sz="0" w:space="0"/>
            <w:insideH w:val="single" w:color="4472C4" w:sz="4" w:space="0"/>
            <w:insideV w:val="single" w:color="4472C4" w:sz="4" w:space="0"/>
          </w:tblBorders>
          <w:tblCellMar>
            <w:top w:w="0" w:type="dxa"/>
            <w:left w:w="108" w:type="dxa"/>
            <w:bottom w:w="0" w:type="dxa"/>
            <w:right w:w="108" w:type="dxa"/>
          </w:tblCellMar>
        </w:tblPrEx>
        <w:trPr>
          <w:trHeight w:val="510" w:hRule="atLeast"/>
          <w:jc w:val="right"/>
        </w:trPr>
        <w:tc>
          <w:tcPr>
            <w:tcW w:w="427" w:type="dxa"/>
            <w:vMerge w:val="restart"/>
            <w:tcBorders>
              <w:right w:val="nil"/>
            </w:tcBorders>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textAlignment w:val="auto"/>
              <w:rPr>
                <w:rFonts w:hAnsi="等线"/>
                <w:sz w:val="18"/>
                <w:szCs w:val="18"/>
              </w:rPr>
            </w:pPr>
          </w:p>
        </w:tc>
        <w:tc>
          <w:tcPr>
            <w:tcW w:w="1081" w:type="dxa"/>
            <w:tcBorders>
              <w:left w:val="nil"/>
            </w:tcBorders>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textAlignment w:val="auto"/>
              <w:rPr>
                <w:rFonts w:hAnsi="等线"/>
                <w:sz w:val="18"/>
                <w:szCs w:val="18"/>
              </w:rPr>
            </w:pPr>
            <w:r>
              <w:rPr>
                <w:rFonts w:hAnsi="等线"/>
                <w:sz w:val="18"/>
                <w:szCs w:val="18"/>
                <w:lang w:val="zh-CN"/>
              </w:rPr>
              <w:t>-</w:t>
            </w:r>
            <w:r>
              <w:rPr>
                <w:rFonts w:hint="default" w:hAnsi="等线"/>
                <w:sz w:val="18"/>
                <w:szCs w:val="18"/>
                <w:lang w:val="zh-CN"/>
              </w:rPr>
              <w:t>A</w:t>
            </w:r>
            <w:r>
              <w:rPr>
                <w:rFonts w:hint="eastAsia" w:hAnsi="等线"/>
                <w:sz w:val="18"/>
                <w:szCs w:val="18"/>
                <w:lang w:val="en-US" w:eastAsia="zh-CN"/>
              </w:rPr>
              <w:t xml:space="preserve"> 级</w:t>
            </w:r>
            <w:r>
              <w:rPr>
                <w:rFonts w:hint="eastAsia" w:hAnsi="等线"/>
                <w:sz w:val="18"/>
                <w:szCs w:val="18"/>
                <w:lang w:val="zh-CN"/>
              </w:rPr>
              <w:t>：</w:t>
            </w:r>
          </w:p>
        </w:tc>
        <w:tc>
          <w:tcPr>
            <w:tcW w:w="7953" w:type="dxa"/>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ind w:left="210" w:leftChars="100" w:right="0" w:rightChars="0"/>
              <w:textAlignment w:val="auto"/>
              <w:rPr>
                <w:rFonts w:hAnsi="等线"/>
                <w:sz w:val="18"/>
                <w:szCs w:val="18"/>
                <w:lang w:val="zh-CN"/>
              </w:rPr>
            </w:pPr>
            <w:r>
              <w:rPr>
                <w:rFonts w:hAnsi="等线"/>
                <w:sz w:val="18"/>
                <w:szCs w:val="18"/>
                <w:lang w:val="zh-CN"/>
              </w:rPr>
              <w:t>A1</w:t>
            </w:r>
            <w:r>
              <w:rPr>
                <w:rFonts w:hint="eastAsia" w:hAnsi="等线"/>
                <w:sz w:val="18"/>
                <w:szCs w:val="18"/>
                <w:lang w:val="zh-CN"/>
              </w:rPr>
              <w:t>级：</w:t>
            </w:r>
            <w:r>
              <w:rPr>
                <w:rFonts w:hAnsi="等线"/>
                <w:sz w:val="18"/>
                <w:szCs w:val="18"/>
                <w:lang w:val="zh-CN"/>
              </w:rPr>
              <w:t>NMPA</w:t>
            </w:r>
            <w:r>
              <w:rPr>
                <w:rFonts w:hint="eastAsia" w:hAnsi="等线"/>
                <w:sz w:val="18"/>
                <w:szCs w:val="18"/>
                <w:lang w:val="zh-CN"/>
              </w:rPr>
              <w:t>、</w:t>
            </w:r>
            <w:r>
              <w:rPr>
                <w:rFonts w:hAnsi="等线"/>
                <w:sz w:val="18"/>
                <w:szCs w:val="18"/>
                <w:lang w:val="zh-CN"/>
              </w:rPr>
              <w:t>FDA</w:t>
            </w:r>
            <w:r>
              <w:rPr>
                <w:rFonts w:hint="eastAsia" w:hAnsi="等线"/>
                <w:sz w:val="18"/>
                <w:szCs w:val="18"/>
                <w:lang w:val="zh-CN"/>
              </w:rPr>
              <w:t>或其他国家药监部门批准</w:t>
            </w:r>
            <w:r>
              <w:rPr>
                <w:rFonts w:hint="eastAsia" w:hAnsi="等线"/>
                <w:sz w:val="18"/>
                <w:szCs w:val="18"/>
                <w:lang w:val="zh-CN"/>
              </w:rPr>
              <w:br w:type="textWrapping"/>
            </w:r>
            <w:r>
              <w:rPr>
                <w:rFonts w:hAnsi="等线"/>
                <w:sz w:val="18"/>
                <w:szCs w:val="18"/>
                <w:lang w:val="zh-CN"/>
              </w:rPr>
              <w:t>A2</w:t>
            </w:r>
            <w:r>
              <w:rPr>
                <w:rFonts w:hint="eastAsia" w:hAnsi="等线"/>
                <w:sz w:val="18"/>
                <w:szCs w:val="18"/>
                <w:lang w:val="zh-CN"/>
              </w:rPr>
              <w:t>级：专业临床指南（如</w:t>
            </w:r>
            <w:r>
              <w:rPr>
                <w:rFonts w:hAnsi="等线"/>
                <w:sz w:val="18"/>
                <w:szCs w:val="18"/>
                <w:lang w:val="zh-CN"/>
              </w:rPr>
              <w:t>CSCO</w:t>
            </w:r>
            <w:r>
              <w:rPr>
                <w:rFonts w:hint="eastAsia" w:hAnsi="等线"/>
                <w:sz w:val="18"/>
                <w:szCs w:val="18"/>
                <w:lang w:val="zh-CN"/>
              </w:rPr>
              <w:t>/</w:t>
            </w:r>
            <w:r>
              <w:rPr>
                <w:rFonts w:hAnsi="等线"/>
                <w:sz w:val="18"/>
                <w:szCs w:val="18"/>
                <w:lang w:val="zh-CN"/>
              </w:rPr>
              <w:t>NCCN</w:t>
            </w:r>
            <w:r>
              <w:rPr>
                <w:rFonts w:hint="eastAsia" w:hAnsi="等线"/>
                <w:sz w:val="18"/>
                <w:szCs w:val="18"/>
                <w:lang w:val="zh-CN"/>
              </w:rPr>
              <w:t>临床指南）推荐</w:t>
            </w:r>
          </w:p>
        </w:tc>
      </w:tr>
      <w:tr>
        <w:tblPrEx>
          <w:tblBorders>
            <w:top w:val="single" w:color="4472C4" w:sz="4" w:space="0"/>
            <w:left w:val="none" w:color="auto" w:sz="0" w:space="0"/>
            <w:bottom w:val="single" w:color="4472C4" w:sz="4" w:space="0"/>
            <w:right w:val="none" w:color="auto" w:sz="0" w:space="0"/>
            <w:insideH w:val="single" w:color="4472C4" w:sz="4" w:space="0"/>
            <w:insideV w:val="single" w:color="4472C4" w:sz="4" w:space="0"/>
          </w:tblBorders>
          <w:tblCellMar>
            <w:top w:w="0" w:type="dxa"/>
            <w:left w:w="108" w:type="dxa"/>
            <w:bottom w:w="0" w:type="dxa"/>
            <w:right w:w="108" w:type="dxa"/>
          </w:tblCellMar>
        </w:tblPrEx>
        <w:trPr>
          <w:trHeight w:val="510" w:hRule="atLeast"/>
          <w:jc w:val="right"/>
        </w:trPr>
        <w:tc>
          <w:tcPr>
            <w:tcW w:w="427" w:type="dxa"/>
            <w:vMerge w:val="continue"/>
            <w:tcBorders>
              <w:right w:val="nil"/>
            </w:tcBorders>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textAlignment w:val="auto"/>
              <w:rPr>
                <w:rFonts w:hAnsi="等线"/>
                <w:sz w:val="18"/>
                <w:szCs w:val="18"/>
              </w:rPr>
            </w:pPr>
          </w:p>
        </w:tc>
        <w:tc>
          <w:tcPr>
            <w:tcW w:w="1081" w:type="dxa"/>
            <w:tcBorders>
              <w:left w:val="nil"/>
            </w:tcBorders>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textAlignment w:val="auto"/>
              <w:rPr>
                <w:rFonts w:hAnsi="等线"/>
                <w:sz w:val="18"/>
                <w:szCs w:val="18"/>
              </w:rPr>
            </w:pPr>
            <w:r>
              <w:rPr>
                <w:rFonts w:hAnsi="等线"/>
                <w:sz w:val="18"/>
                <w:szCs w:val="18"/>
                <w:lang w:val="zh-CN"/>
              </w:rPr>
              <w:t>-</w:t>
            </w:r>
            <w:r>
              <w:rPr>
                <w:rFonts w:hint="default" w:hAnsi="等线"/>
                <w:sz w:val="18"/>
                <w:szCs w:val="18"/>
                <w:lang w:val="zh-CN"/>
              </w:rPr>
              <w:t>B</w:t>
            </w:r>
            <w:r>
              <w:rPr>
                <w:rFonts w:hint="eastAsia" w:hAnsi="等线"/>
                <w:sz w:val="18"/>
                <w:szCs w:val="18"/>
                <w:lang w:val="en-US" w:eastAsia="zh-CN"/>
              </w:rPr>
              <w:t xml:space="preserve"> 级</w:t>
            </w:r>
            <w:r>
              <w:rPr>
                <w:rFonts w:hint="eastAsia" w:hAnsi="等线"/>
                <w:sz w:val="18"/>
                <w:szCs w:val="18"/>
                <w:lang w:val="zh-CN"/>
              </w:rPr>
              <w:t>：</w:t>
            </w:r>
          </w:p>
        </w:tc>
        <w:tc>
          <w:tcPr>
            <w:tcW w:w="7953" w:type="dxa"/>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ind w:left="210" w:leftChars="100" w:right="0" w:rightChars="0"/>
              <w:textAlignment w:val="auto"/>
              <w:rPr>
                <w:rFonts w:hAnsi="等线"/>
                <w:sz w:val="18"/>
                <w:szCs w:val="18"/>
              </w:rPr>
            </w:pPr>
            <w:r>
              <w:rPr>
                <w:rFonts w:hint="eastAsia" w:hAnsi="等线"/>
                <w:sz w:val="18"/>
                <w:szCs w:val="18"/>
                <w:lang w:val="zh-CN"/>
              </w:rPr>
              <w:t>经具有统计学效能的临床研究（如拟用于注册申请的关键临床研究、基于该分子标志物入组的</w:t>
            </w:r>
            <w:r>
              <w:rPr>
                <w:rFonts w:hint="eastAsia" w:hAnsi="等线"/>
                <w:sz w:val="18"/>
                <w:szCs w:val="18"/>
                <w:lang w:val="zh-CN"/>
              </w:rPr>
              <w:br w:type="textWrapping"/>
            </w:r>
            <w:r>
              <w:rPr>
                <w:rFonts w:hint="eastAsia" w:hAnsi="等线"/>
                <w:sz w:val="18"/>
                <w:szCs w:val="18"/>
                <w:lang w:val="zh-CN"/>
              </w:rPr>
              <w:t>Ⅱ</w:t>
            </w:r>
            <w:r>
              <w:rPr>
                <w:rFonts w:hAnsi="等线"/>
                <w:sz w:val="18"/>
                <w:szCs w:val="18"/>
                <w:lang w:val="zh-CN"/>
              </w:rPr>
              <w:t>/Ⅲ期</w:t>
            </w:r>
            <w:r>
              <w:rPr>
                <w:rFonts w:hint="eastAsia" w:hAnsi="等线"/>
                <w:sz w:val="18"/>
                <w:szCs w:val="18"/>
                <w:lang w:val="zh-CN"/>
              </w:rPr>
              <w:t>临床研究）证实、获得该领域专家共识（如</w:t>
            </w:r>
            <w:r>
              <w:rPr>
                <w:rFonts w:hAnsi="等线"/>
                <w:sz w:val="18"/>
                <w:szCs w:val="18"/>
                <w:lang w:val="zh-CN"/>
              </w:rPr>
              <w:t>IASLC检测手册</w:t>
            </w:r>
            <w:r>
              <w:rPr>
                <w:rFonts w:hint="eastAsia" w:hAnsi="等线"/>
                <w:sz w:val="18"/>
                <w:szCs w:val="18"/>
                <w:lang w:val="zh-CN"/>
              </w:rPr>
              <w:t>）</w:t>
            </w:r>
          </w:p>
        </w:tc>
      </w:tr>
      <w:tr>
        <w:tblPrEx>
          <w:tblBorders>
            <w:top w:val="single" w:color="4472C4" w:sz="4" w:space="0"/>
            <w:left w:val="none" w:color="auto" w:sz="0" w:space="0"/>
            <w:bottom w:val="single" w:color="4472C4" w:sz="4" w:space="0"/>
            <w:right w:val="none" w:color="auto" w:sz="0" w:space="0"/>
            <w:insideH w:val="single" w:color="4472C4" w:sz="4" w:space="0"/>
            <w:insideV w:val="single" w:color="4472C4" w:sz="4" w:space="0"/>
          </w:tblBorders>
          <w:tblCellMar>
            <w:top w:w="0" w:type="dxa"/>
            <w:left w:w="108" w:type="dxa"/>
            <w:bottom w:w="0" w:type="dxa"/>
            <w:right w:w="108" w:type="dxa"/>
          </w:tblCellMar>
        </w:tblPrEx>
        <w:trPr>
          <w:trHeight w:val="170" w:hRule="atLeast"/>
          <w:jc w:val="right"/>
        </w:trPr>
        <w:tc>
          <w:tcPr>
            <w:tcW w:w="9461" w:type="dxa"/>
            <w:gridSpan w:val="3"/>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textAlignment w:val="auto"/>
              <w:rPr>
                <w:rFonts w:hAnsi="等线"/>
                <w:sz w:val="18"/>
                <w:szCs w:val="18"/>
              </w:rPr>
            </w:pPr>
            <w:r>
              <w:rPr>
                <w:rFonts w:hint="eastAsia" w:hAnsi="等线"/>
                <w:sz w:val="18"/>
                <w:szCs w:val="18"/>
              </w:rPr>
              <w:t>-Ⅱ类变异（具有潜在的临床意义）：</w:t>
            </w:r>
          </w:p>
        </w:tc>
      </w:tr>
      <w:tr>
        <w:tblPrEx>
          <w:tblBorders>
            <w:top w:val="single" w:color="4472C4" w:sz="4" w:space="0"/>
            <w:left w:val="none" w:color="auto" w:sz="0" w:space="0"/>
            <w:bottom w:val="single" w:color="4472C4" w:sz="4" w:space="0"/>
            <w:right w:val="none" w:color="auto" w:sz="0" w:space="0"/>
            <w:insideH w:val="single" w:color="4472C4" w:sz="4" w:space="0"/>
            <w:insideV w:val="single" w:color="4472C4" w:sz="4" w:space="0"/>
          </w:tblBorders>
          <w:tblCellMar>
            <w:top w:w="0" w:type="dxa"/>
            <w:left w:w="108" w:type="dxa"/>
            <w:bottom w:w="0" w:type="dxa"/>
            <w:right w:w="108" w:type="dxa"/>
          </w:tblCellMar>
        </w:tblPrEx>
        <w:trPr>
          <w:trHeight w:val="510" w:hRule="atLeast"/>
          <w:jc w:val="right"/>
        </w:trPr>
        <w:tc>
          <w:tcPr>
            <w:tcW w:w="427" w:type="dxa"/>
            <w:vMerge w:val="restart"/>
            <w:tcBorders>
              <w:right w:val="nil"/>
            </w:tcBorders>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textAlignment w:val="auto"/>
              <w:rPr>
                <w:rFonts w:hAnsi="等线"/>
                <w:sz w:val="18"/>
                <w:szCs w:val="18"/>
              </w:rPr>
            </w:pPr>
          </w:p>
        </w:tc>
        <w:tc>
          <w:tcPr>
            <w:tcW w:w="1081" w:type="dxa"/>
            <w:vMerge w:val="restart"/>
            <w:tcBorders>
              <w:left w:val="nil"/>
            </w:tcBorders>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textAlignment w:val="auto"/>
              <w:rPr>
                <w:rFonts w:hAnsi="等线"/>
                <w:sz w:val="18"/>
                <w:szCs w:val="18"/>
                <w:lang w:val="zh-CN"/>
              </w:rPr>
            </w:pPr>
            <w:r>
              <w:rPr>
                <w:rFonts w:hAnsi="等线"/>
                <w:sz w:val="18"/>
                <w:szCs w:val="18"/>
              </w:rPr>
              <w:t>-</w:t>
            </w:r>
            <w:r>
              <w:rPr>
                <w:rFonts w:hint="eastAsia" w:hAnsi="等线"/>
                <w:sz w:val="18"/>
                <w:szCs w:val="18"/>
                <w:lang w:val="en-US" w:eastAsia="zh-CN"/>
              </w:rPr>
              <w:t>C 级</w:t>
            </w:r>
            <w:r>
              <w:rPr>
                <w:rFonts w:hint="eastAsia" w:hAnsi="等线"/>
                <w:sz w:val="18"/>
                <w:szCs w:val="18"/>
              </w:rPr>
              <w:t>：</w:t>
            </w:r>
          </w:p>
        </w:tc>
        <w:tc>
          <w:tcPr>
            <w:tcW w:w="7953" w:type="dxa"/>
            <w:tcBorders>
              <w:bottom w:val="single" w:color="4472C4" w:sz="4" w:space="0"/>
            </w:tcBorders>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ind w:left="210" w:leftChars="100" w:right="0" w:rightChars="0"/>
              <w:textAlignment w:val="auto"/>
              <w:rPr>
                <w:rFonts w:hAnsi="等线"/>
                <w:sz w:val="18"/>
                <w:szCs w:val="18"/>
              </w:rPr>
            </w:pPr>
            <w:r>
              <w:rPr>
                <w:rFonts w:hAnsi="等线"/>
                <w:sz w:val="18"/>
                <w:szCs w:val="18"/>
                <w:lang w:val="zh-CN"/>
              </w:rPr>
              <w:t>C1</w:t>
            </w:r>
            <w:r>
              <w:rPr>
                <w:rFonts w:hint="eastAsia" w:hAnsi="等线"/>
                <w:sz w:val="18"/>
                <w:szCs w:val="18"/>
                <w:lang w:val="zh-CN"/>
              </w:rPr>
              <w:t>级：多项小型临床研究支持</w:t>
            </w:r>
            <w:r>
              <w:rPr>
                <w:rFonts w:hint="eastAsia" w:hAnsi="等线"/>
                <w:sz w:val="18"/>
                <w:szCs w:val="18"/>
                <w:lang w:val="zh-CN"/>
              </w:rPr>
              <w:br w:type="textWrapping"/>
            </w:r>
            <w:r>
              <w:rPr>
                <w:rFonts w:hAnsi="等线"/>
                <w:sz w:val="18"/>
                <w:szCs w:val="18"/>
                <w:lang w:val="zh-CN"/>
              </w:rPr>
              <w:t>C2</w:t>
            </w:r>
            <w:r>
              <w:rPr>
                <w:rFonts w:hint="eastAsia" w:hAnsi="等线"/>
                <w:sz w:val="18"/>
                <w:szCs w:val="18"/>
                <w:lang w:val="zh-CN"/>
              </w:rPr>
              <w:t>级：已作为当前临床研究的入组标准</w:t>
            </w:r>
            <w:r>
              <w:rPr>
                <w:rFonts w:hint="eastAsia" w:hAnsi="等线"/>
                <w:sz w:val="18"/>
                <w:szCs w:val="18"/>
                <w:lang w:val="zh-CN"/>
              </w:rPr>
              <w:br w:type="textWrapping"/>
            </w:r>
            <w:r>
              <w:rPr>
                <w:rFonts w:hAnsi="等线"/>
                <w:sz w:val="18"/>
                <w:szCs w:val="18"/>
                <w:lang w:val="zh-CN"/>
              </w:rPr>
              <w:t>C3</w:t>
            </w:r>
            <w:r>
              <w:rPr>
                <w:rFonts w:hint="eastAsia" w:hAnsi="等线"/>
                <w:sz w:val="18"/>
                <w:szCs w:val="18"/>
                <w:lang w:val="zh-CN"/>
              </w:rPr>
              <w:t>级：其他癌种的</w:t>
            </w:r>
            <w:r>
              <w:rPr>
                <w:rFonts w:hAnsi="等线"/>
                <w:sz w:val="18"/>
                <w:szCs w:val="18"/>
                <w:lang w:val="zh-CN"/>
              </w:rPr>
              <w:t>A</w:t>
            </w:r>
            <w:r>
              <w:rPr>
                <w:rFonts w:hint="eastAsia" w:hAnsi="等线"/>
                <w:sz w:val="18"/>
                <w:szCs w:val="18"/>
                <w:lang w:val="zh-CN"/>
              </w:rPr>
              <w:t>级</w:t>
            </w:r>
            <w:r>
              <w:rPr>
                <w:rFonts w:hint="eastAsia" w:hAnsi="等线"/>
                <w:sz w:val="18"/>
                <w:szCs w:val="18"/>
              </w:rPr>
              <w:t>证据</w:t>
            </w:r>
            <w:r>
              <w:rPr>
                <w:rFonts w:hint="eastAsia" w:hAnsi="等线"/>
                <w:sz w:val="18"/>
                <w:szCs w:val="18"/>
                <w:lang w:val="zh-CN"/>
              </w:rPr>
              <w:t>（跨适应证用药）</w:t>
            </w:r>
          </w:p>
        </w:tc>
      </w:tr>
      <w:tr>
        <w:tblPrEx>
          <w:tblBorders>
            <w:top w:val="single" w:color="4472C4" w:sz="4" w:space="0"/>
            <w:left w:val="none" w:color="auto" w:sz="0" w:space="0"/>
            <w:bottom w:val="single" w:color="4472C4" w:sz="4" w:space="0"/>
            <w:right w:val="none" w:color="auto" w:sz="0" w:space="0"/>
            <w:insideH w:val="single" w:color="4472C4" w:sz="4" w:space="0"/>
            <w:insideV w:val="single" w:color="4472C4" w:sz="4" w:space="0"/>
          </w:tblBorders>
          <w:tblCellMar>
            <w:top w:w="0" w:type="dxa"/>
            <w:left w:w="108" w:type="dxa"/>
            <w:bottom w:w="0" w:type="dxa"/>
            <w:right w:w="108" w:type="dxa"/>
          </w:tblCellMar>
        </w:tblPrEx>
        <w:trPr>
          <w:trHeight w:val="510" w:hRule="atLeast"/>
          <w:jc w:val="right"/>
        </w:trPr>
        <w:tc>
          <w:tcPr>
            <w:tcW w:w="427" w:type="dxa"/>
            <w:vMerge w:val="continue"/>
            <w:tcBorders>
              <w:right w:val="nil"/>
            </w:tcBorders>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textAlignment w:val="auto"/>
              <w:rPr>
                <w:rFonts w:hAnsi="等线"/>
                <w:sz w:val="18"/>
                <w:szCs w:val="18"/>
              </w:rPr>
            </w:pPr>
          </w:p>
        </w:tc>
        <w:tc>
          <w:tcPr>
            <w:tcW w:w="1081" w:type="dxa"/>
            <w:tcBorders>
              <w:left w:val="nil"/>
            </w:tcBorders>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textAlignment w:val="auto"/>
              <w:rPr>
                <w:rFonts w:hAnsi="等线"/>
                <w:sz w:val="18"/>
                <w:szCs w:val="18"/>
                <w:lang w:val="zh-CN"/>
              </w:rPr>
            </w:pPr>
            <w:r>
              <w:rPr>
                <w:rFonts w:hAnsi="等线"/>
                <w:sz w:val="18"/>
                <w:szCs w:val="18"/>
              </w:rPr>
              <w:t>-</w:t>
            </w:r>
            <w:r>
              <w:rPr>
                <w:rFonts w:hint="eastAsia" w:hAnsi="等线"/>
                <w:sz w:val="18"/>
                <w:szCs w:val="18"/>
                <w:lang w:val="en-US" w:eastAsia="zh-CN"/>
              </w:rPr>
              <w:t>D 级</w:t>
            </w:r>
            <w:r>
              <w:rPr>
                <w:rFonts w:hint="eastAsia" w:hAnsi="等线"/>
                <w:sz w:val="18"/>
                <w:szCs w:val="18"/>
              </w:rPr>
              <w:t>：</w:t>
            </w:r>
          </w:p>
        </w:tc>
        <w:tc>
          <w:tcPr>
            <w:tcW w:w="7953" w:type="dxa"/>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ind w:left="210" w:leftChars="100" w:right="0" w:rightChars="0"/>
              <w:textAlignment w:val="auto"/>
              <w:rPr>
                <w:rFonts w:hAnsi="等线"/>
                <w:sz w:val="18"/>
                <w:szCs w:val="18"/>
                <w:lang w:val="zh-CN"/>
              </w:rPr>
            </w:pPr>
            <w:r>
              <w:rPr>
                <w:rFonts w:hAnsi="等线"/>
                <w:sz w:val="18"/>
                <w:szCs w:val="18"/>
                <w:lang w:val="zh-CN"/>
              </w:rPr>
              <w:t>D1</w:t>
            </w:r>
            <w:r>
              <w:rPr>
                <w:rFonts w:hint="eastAsia" w:hAnsi="等线"/>
                <w:sz w:val="18"/>
                <w:szCs w:val="18"/>
                <w:lang w:val="zh-CN"/>
              </w:rPr>
              <w:t>级：疗效获益的临床病例报道支持</w:t>
            </w:r>
            <w:r>
              <w:rPr>
                <w:rFonts w:hint="eastAsia" w:hAnsi="等线"/>
                <w:sz w:val="18"/>
                <w:szCs w:val="18"/>
                <w:lang w:val="zh-CN"/>
              </w:rPr>
              <w:br w:type="textWrapping"/>
            </w:r>
            <w:r>
              <w:rPr>
                <w:rFonts w:hAnsi="等线"/>
                <w:sz w:val="18"/>
                <w:szCs w:val="18"/>
                <w:lang w:val="zh-CN"/>
              </w:rPr>
              <w:t>D2</w:t>
            </w:r>
            <w:r>
              <w:rPr>
                <w:rFonts w:hint="eastAsia" w:hAnsi="等线"/>
                <w:sz w:val="18"/>
                <w:szCs w:val="18"/>
                <w:lang w:val="zh-CN"/>
              </w:rPr>
              <w:t>级：临床前证据支持</w:t>
            </w:r>
          </w:p>
        </w:tc>
      </w:tr>
      <w:tr>
        <w:tblPrEx>
          <w:tblBorders>
            <w:top w:val="single" w:color="4472C4" w:sz="4" w:space="0"/>
            <w:left w:val="none" w:color="auto" w:sz="0" w:space="0"/>
            <w:bottom w:val="single" w:color="4472C4" w:sz="4" w:space="0"/>
            <w:right w:val="none" w:color="auto" w:sz="0" w:space="0"/>
            <w:insideH w:val="single" w:color="4472C4" w:sz="4" w:space="0"/>
            <w:insideV w:val="single" w:color="4472C4" w:sz="4" w:space="0"/>
          </w:tblBorders>
          <w:tblCellMar>
            <w:top w:w="0" w:type="dxa"/>
            <w:left w:w="108" w:type="dxa"/>
            <w:bottom w:w="0" w:type="dxa"/>
            <w:right w:w="108" w:type="dxa"/>
          </w:tblCellMar>
        </w:tblPrEx>
        <w:trPr>
          <w:trHeight w:val="170" w:hRule="atLeast"/>
          <w:jc w:val="right"/>
        </w:trPr>
        <w:tc>
          <w:tcPr>
            <w:tcW w:w="9461" w:type="dxa"/>
            <w:gridSpan w:val="3"/>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textAlignment w:val="auto"/>
              <w:rPr>
                <w:rFonts w:hAnsi="等线"/>
                <w:sz w:val="18"/>
                <w:szCs w:val="18"/>
              </w:rPr>
            </w:pPr>
            <w:r>
              <w:rPr>
                <w:rFonts w:hint="eastAsia" w:hAnsi="等线"/>
                <w:sz w:val="18"/>
                <w:szCs w:val="18"/>
              </w:rPr>
              <w:t>-Ⅲ类变异（临床意义不明）：</w:t>
            </w:r>
          </w:p>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ind w:left="105" w:leftChars="50"/>
              <w:textAlignment w:val="auto"/>
              <w:rPr>
                <w:rFonts w:hAnsi="等线"/>
                <w:sz w:val="18"/>
                <w:szCs w:val="18"/>
              </w:rPr>
            </w:pPr>
            <w:r>
              <w:rPr>
                <w:rFonts w:hint="eastAsia" w:hAnsi="等线"/>
                <w:sz w:val="18"/>
                <w:szCs w:val="18"/>
              </w:rPr>
              <w:t>在全人群或特定亚人群数据库、泛癌种或特定肿瘤数据库中均未观察到较高变异频率；缺乏令人信服的已发表肿瘤</w:t>
            </w:r>
            <w:r>
              <w:rPr>
                <w:rFonts w:hint="eastAsia" w:hAnsi="等线"/>
                <w:sz w:val="18"/>
                <w:szCs w:val="18"/>
              </w:rPr>
              <w:br w:type="textWrapping"/>
            </w:r>
            <w:r>
              <w:rPr>
                <w:rFonts w:hint="eastAsia" w:hAnsi="等线"/>
                <w:sz w:val="18"/>
                <w:szCs w:val="18"/>
                <w:lang w:val="en-US" w:eastAsia="zh-CN"/>
              </w:rPr>
              <w:t>药物敏感性</w:t>
            </w:r>
            <w:r>
              <w:rPr>
                <w:rFonts w:hint="eastAsia" w:hAnsi="等线"/>
                <w:sz w:val="18"/>
                <w:szCs w:val="18"/>
              </w:rPr>
              <w:t>相关证据。</w:t>
            </w:r>
          </w:p>
        </w:tc>
      </w:tr>
      <w:tr>
        <w:tblPrEx>
          <w:tblBorders>
            <w:top w:val="single" w:color="4472C4" w:sz="4" w:space="0"/>
            <w:left w:val="none" w:color="auto" w:sz="0" w:space="0"/>
            <w:bottom w:val="single" w:color="4472C4" w:sz="4" w:space="0"/>
            <w:right w:val="none" w:color="auto" w:sz="0" w:space="0"/>
            <w:insideH w:val="single" w:color="4472C4" w:sz="4" w:space="0"/>
            <w:insideV w:val="single" w:color="4472C4" w:sz="4" w:space="0"/>
          </w:tblBorders>
          <w:tblCellMar>
            <w:top w:w="0" w:type="dxa"/>
            <w:left w:w="108" w:type="dxa"/>
            <w:bottom w:w="0" w:type="dxa"/>
            <w:right w:w="108" w:type="dxa"/>
          </w:tblCellMar>
        </w:tblPrEx>
        <w:trPr>
          <w:trHeight w:val="170" w:hRule="atLeast"/>
          <w:jc w:val="right"/>
        </w:trPr>
        <w:tc>
          <w:tcPr>
            <w:tcW w:w="9461" w:type="dxa"/>
            <w:gridSpan w:val="3"/>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textAlignment w:val="auto"/>
              <w:rPr>
                <w:rFonts w:hAnsi="等线"/>
                <w:sz w:val="18"/>
                <w:szCs w:val="18"/>
              </w:rPr>
            </w:pPr>
            <w:r>
              <w:rPr>
                <w:rFonts w:hint="eastAsia" w:hAnsi="等线"/>
                <w:sz w:val="18"/>
                <w:szCs w:val="18"/>
              </w:rPr>
              <w:t>-Ⅳ类变异（无害或可能无害</w:t>
            </w:r>
            <w:r>
              <w:rPr>
                <w:rFonts w:hint="eastAsia" w:hAnsi="等线"/>
                <w:sz w:val="18"/>
                <w:szCs w:val="18"/>
                <w:lang w:eastAsia="zh-CN"/>
              </w:rPr>
              <w:t>，</w:t>
            </w:r>
            <w:r>
              <w:rPr>
                <w:rFonts w:hint="eastAsia" w:hAnsi="等线"/>
                <w:sz w:val="18"/>
                <w:szCs w:val="18"/>
              </w:rPr>
              <w:t>不在本报告中列出）：</w:t>
            </w:r>
          </w:p>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ind w:left="105" w:leftChars="50"/>
              <w:textAlignment w:val="auto"/>
              <w:rPr>
                <w:rFonts w:hAnsi="等线"/>
                <w:sz w:val="18"/>
                <w:szCs w:val="18"/>
              </w:rPr>
            </w:pPr>
            <w:r>
              <w:rPr>
                <w:rFonts w:hint="eastAsia" w:hAnsi="等线"/>
                <w:sz w:val="18"/>
                <w:szCs w:val="18"/>
              </w:rPr>
              <w:t>在全人群或特定亚人群数据库中观察到高变异频率；无已发表的肿瘤药物敏感性相关证据。</w:t>
            </w:r>
          </w:p>
        </w:tc>
      </w:tr>
    </w:tbl>
    <w:p>
      <w:pPr>
        <w:pStyle w:val="38"/>
        <w:keepNext w:val="0"/>
        <w:keepLines w:val="0"/>
        <w:pageBreakBefore w:val="0"/>
        <w:widowControl w:val="0"/>
        <w:numPr>
          <w:ilvl w:val="0"/>
          <w:numId w:val="2"/>
        </w:numPr>
        <w:kinsoku/>
        <w:wordWrap/>
        <w:overflowPunct/>
        <w:topLinePunct w:val="0"/>
        <w:autoSpaceDE/>
        <w:autoSpaceDN/>
        <w:bidi w:val="0"/>
        <w:adjustRightInd/>
        <w:snapToGrid w:val="0"/>
        <w:spacing w:before="79" w:beforeLines="25" w:line="300" w:lineRule="auto"/>
        <w:ind w:left="420" w:hanging="420" w:firstLineChars="0"/>
        <w:jc w:val="left"/>
        <w:textAlignment w:val="auto"/>
        <w:rPr>
          <w:rFonts w:hAnsi="等线"/>
          <w:sz w:val="18"/>
          <w:szCs w:val="18"/>
        </w:rPr>
      </w:pPr>
      <w:r>
        <w:rPr>
          <w:rFonts w:hint="eastAsia" w:hAnsi="等线"/>
          <w:sz w:val="18"/>
          <w:szCs w:val="18"/>
        </w:rPr>
        <w:t>FDA：美国食品药品监督管理局；NMPA：中国药品监督管理局；NCCN：美国国立综合癌症网络。</w:t>
      </w:r>
    </w:p>
    <w:p>
      <w:pPr>
        <w:pStyle w:val="38"/>
        <w:keepNext w:val="0"/>
        <w:keepLines w:val="0"/>
        <w:pageBreakBefore w:val="0"/>
        <w:widowControl w:val="0"/>
        <w:numPr>
          <w:ilvl w:val="0"/>
          <w:numId w:val="2"/>
        </w:numPr>
        <w:kinsoku/>
        <w:wordWrap/>
        <w:overflowPunct/>
        <w:topLinePunct w:val="0"/>
        <w:autoSpaceDE/>
        <w:autoSpaceDN/>
        <w:bidi w:val="0"/>
        <w:adjustRightInd/>
        <w:snapToGrid w:val="0"/>
        <w:spacing w:line="300" w:lineRule="auto"/>
        <w:ind w:left="420" w:hanging="420" w:firstLineChars="0"/>
        <w:jc w:val="left"/>
        <w:textAlignment w:val="auto"/>
        <w:rPr>
          <w:rFonts w:hAnsi="等线"/>
          <w:sz w:val="18"/>
          <w:szCs w:val="18"/>
        </w:rPr>
      </w:pPr>
      <w:r>
        <w:rPr>
          <w:rFonts w:hint="eastAsia" w:hAnsi="等线"/>
          <w:sz w:val="18"/>
          <w:szCs w:val="18"/>
        </w:rPr>
        <w:t>突变丰度指某个基因位点的突变型所占的相对比例，即等于突变型</w:t>
      </w:r>
      <w:r>
        <w:rPr>
          <w:rFonts w:hAnsi="等线"/>
          <w:sz w:val="18"/>
          <w:szCs w:val="18"/>
        </w:rPr>
        <w:t>/（突变型+野生型），突变丰度受肿瘤细胞含量和取材部位等因素的影响，突变丰度与药物敏感性或耐药性不一定成正相关。</w:t>
      </w:r>
    </w:p>
    <w:p>
      <w:pPr>
        <w:pStyle w:val="38"/>
        <w:keepNext w:val="0"/>
        <w:keepLines w:val="0"/>
        <w:pageBreakBefore w:val="0"/>
        <w:widowControl w:val="0"/>
        <w:numPr>
          <w:ilvl w:val="0"/>
          <w:numId w:val="2"/>
        </w:numPr>
        <w:kinsoku/>
        <w:wordWrap/>
        <w:overflowPunct/>
        <w:topLinePunct w:val="0"/>
        <w:autoSpaceDE/>
        <w:autoSpaceDN/>
        <w:bidi w:val="0"/>
        <w:adjustRightInd/>
        <w:snapToGrid w:val="0"/>
        <w:spacing w:line="300" w:lineRule="auto"/>
        <w:ind w:left="420" w:hanging="420" w:firstLineChars="0"/>
        <w:jc w:val="left"/>
        <w:textAlignment w:val="auto"/>
        <w:rPr>
          <w:rFonts w:hAnsi="等线"/>
          <w:sz w:val="18"/>
          <w:szCs w:val="18"/>
        </w:rPr>
      </w:pPr>
      <w:r>
        <w:rPr>
          <w:rFonts w:hint="eastAsia" w:hAnsi="等线"/>
          <w:sz w:val="18"/>
          <w:szCs w:val="18"/>
        </w:rPr>
        <w:t>表格中的“+”号表示联合用药。</w:t>
      </w:r>
    </w:p>
    <w:p>
      <w:pPr>
        <w:pStyle w:val="38"/>
        <w:keepNext w:val="0"/>
        <w:keepLines w:val="0"/>
        <w:pageBreakBefore w:val="0"/>
        <w:widowControl w:val="0"/>
        <w:numPr>
          <w:ilvl w:val="0"/>
          <w:numId w:val="2"/>
        </w:numPr>
        <w:kinsoku/>
        <w:wordWrap/>
        <w:overflowPunct/>
        <w:topLinePunct w:val="0"/>
        <w:autoSpaceDE/>
        <w:autoSpaceDN/>
        <w:bidi w:val="0"/>
        <w:adjustRightInd/>
        <w:snapToGrid w:val="0"/>
        <w:spacing w:line="300" w:lineRule="auto"/>
        <w:ind w:left="420" w:hanging="420" w:firstLineChars="0"/>
        <w:jc w:val="left"/>
        <w:textAlignment w:val="auto"/>
        <w:rPr>
          <w:rFonts w:hAnsi="等线"/>
          <w:sz w:val="18"/>
          <w:szCs w:val="18"/>
        </w:rPr>
      </w:pPr>
      <w:r>
        <w:rPr>
          <w:rFonts w:hint="eastAsia" w:hAnsi="等线"/>
          <w:sz w:val="18"/>
          <w:szCs w:val="18"/>
        </w:rPr>
        <w:t>对于突变类型为“基因扩增”的样本，其拷贝数结果为经过验证的生物信息分析运算出的理论值，建议结合其他检测方法结果，例如免疫组化（IHC）或者荧光原位杂交（FISH），综合考虑临床用药指导。</w:t>
      </w:r>
    </w:p>
    <w:p>
      <w:pPr>
        <w:pStyle w:val="38"/>
        <w:keepNext w:val="0"/>
        <w:keepLines w:val="0"/>
        <w:pageBreakBefore w:val="0"/>
        <w:widowControl w:val="0"/>
        <w:numPr>
          <w:ilvl w:val="0"/>
          <w:numId w:val="2"/>
        </w:numPr>
        <w:kinsoku/>
        <w:wordWrap/>
        <w:overflowPunct/>
        <w:topLinePunct w:val="0"/>
        <w:autoSpaceDE/>
        <w:autoSpaceDN/>
        <w:bidi w:val="0"/>
        <w:adjustRightInd/>
        <w:snapToGrid w:val="0"/>
        <w:spacing w:line="300" w:lineRule="auto"/>
        <w:ind w:left="420" w:hanging="420" w:firstLineChars="0"/>
        <w:jc w:val="left"/>
        <w:textAlignment w:val="auto"/>
        <w:rPr>
          <w:rFonts w:hAnsi="等线"/>
          <w:sz w:val="18"/>
          <w:szCs w:val="18"/>
        </w:rPr>
      </w:pPr>
      <w:r>
        <w:rPr>
          <w:rFonts w:hint="eastAsia" w:hAnsi="等线"/>
          <w:sz w:val="18"/>
          <w:szCs w:val="18"/>
        </w:rPr>
        <w:t>“/”表示本次检测未发现相关变异/药物。</w:t>
      </w:r>
    </w:p>
    <w:p>
      <w:pPr>
        <w:pStyle w:val="38"/>
        <w:keepNext w:val="0"/>
        <w:keepLines w:val="0"/>
        <w:pageBreakBefore w:val="0"/>
        <w:widowControl w:val="0"/>
        <w:numPr>
          <w:ilvl w:val="0"/>
          <w:numId w:val="2"/>
        </w:numPr>
        <w:kinsoku/>
        <w:wordWrap/>
        <w:overflowPunct/>
        <w:topLinePunct w:val="0"/>
        <w:autoSpaceDE/>
        <w:autoSpaceDN/>
        <w:bidi w:val="0"/>
        <w:adjustRightInd/>
        <w:snapToGrid w:val="0"/>
        <w:spacing w:line="300" w:lineRule="auto"/>
        <w:ind w:left="420" w:hanging="420" w:firstLineChars="0"/>
        <w:jc w:val="left"/>
        <w:textAlignment w:val="auto"/>
        <w:rPr>
          <w:rFonts w:hAnsi="等线"/>
          <w:szCs w:val="21"/>
        </w:rPr>
      </w:pPr>
      <w:r>
        <w:rPr>
          <w:rFonts w:hint="eastAsia" w:hAnsi="等线"/>
          <w:sz w:val="18"/>
          <w:szCs w:val="18"/>
        </w:rPr>
        <w:t>本报告所列基因变异及药物未按照该患者潜在的预测疗效排序，具体治疗方案由临床医生根据临床实际情况决定，本检测报告结果仅供参考。</w:t>
      </w:r>
      <w:bookmarkStart w:id="20" w:name="_Toc45207812"/>
    </w:p>
    <w:p/>
    <w:p/>
    <w:p>
      <w:pPr>
        <w:keepNext w:val="0"/>
        <w:keepLines w:val="0"/>
        <w:pageBreakBefore w:val="0"/>
        <w:widowControl w:val="0"/>
        <w:kinsoku/>
        <w:wordWrap/>
        <w:overflowPunct/>
        <w:topLinePunct w:val="0"/>
        <w:autoSpaceDE/>
        <w:autoSpaceDN/>
        <w:bidi w:val="0"/>
        <w:adjustRightInd/>
        <w:snapToGrid/>
        <w:spacing w:line="360" w:lineRule="auto"/>
        <w:jc w:val="left"/>
        <w:textAlignment w:val="auto"/>
        <w:outlineLvl w:val="1"/>
        <w:rPr>
          <w:rFonts w:hint="eastAsia" w:hAnsi="等线" w:cs="Arial"/>
          <w:b/>
          <w:bCs/>
          <w:color w:val="00B0F0"/>
          <w:sz w:val="28"/>
          <w:szCs w:val="28"/>
          <w:lang w:val="en-US" w:eastAsia="zh-CN"/>
        </w:rPr>
      </w:pPr>
      <w:r>
        <w:rPr>
          <w:rFonts w:hint="eastAsia" w:hAnsi="等线" w:cs="Arial"/>
          <w:b/>
          <w:bCs/>
          <w:color w:val="00B0F0"/>
          <w:sz w:val="28"/>
          <w:szCs w:val="28"/>
          <w:lang w:val="en-US" w:eastAsia="zh-CN"/>
        </w:rPr>
        <w:drawing>
          <wp:anchor distT="0" distB="0" distL="114300" distR="114300" simplePos="0" relativeHeight="251699200" behindDoc="0" locked="0" layoutInCell="1" allowOverlap="1">
            <wp:simplePos x="0" y="0"/>
            <wp:positionH relativeFrom="column">
              <wp:posOffset>90170</wp:posOffset>
            </wp:positionH>
            <wp:positionV relativeFrom="paragraph">
              <wp:posOffset>60960</wp:posOffset>
            </wp:positionV>
            <wp:extent cx="272415" cy="277495"/>
            <wp:effectExtent l="0" t="0" r="1905" b="12065"/>
            <wp:wrapNone/>
            <wp:docPr id="1012" name="图片 76" descr="资源 1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descr="资源 1229"/>
                    <pic:cNvPicPr>
                      <a:picLocks noChangeAspect="1"/>
                    </pic:cNvPicPr>
                  </pic:nvPicPr>
                  <pic:blipFill>
                    <a:blip r:embed="rId12"/>
                    <a:stretch>
                      <a:fillRect/>
                    </a:stretch>
                  </pic:blipFill>
                  <pic:spPr>
                    <a:xfrm>
                      <a:off x="0" y="0"/>
                      <a:ext cx="272415" cy="277495"/>
                    </a:xfrm>
                    <a:prstGeom prst="rect">
                      <a:avLst/>
                    </a:prstGeom>
                  </pic:spPr>
                </pic:pic>
              </a:graphicData>
            </a:graphic>
          </wp:anchor>
        </w:drawing>
      </w:r>
      <w:r>
        <w:rPr>
          <w:rFonts w:hint="eastAsia" w:hAnsi="等线" w:cs="Arial"/>
          <w:b/>
          <w:bCs/>
          <w:color w:val="00B0F0"/>
          <w:sz w:val="28"/>
          <w:szCs w:val="28"/>
          <w:lang w:val="en-US" w:eastAsia="zh-CN"/>
        </w:rPr>
        <w:t xml:space="preserve">     </w:t>
      </w:r>
      <w:bookmarkStart w:id="21" w:name="免疫治疗相关Biomarker小结"/>
      <w:bookmarkEnd w:id="21"/>
      <w:r>
        <w:rPr>
          <w:rFonts w:hint="eastAsia" w:hAnsi="等线" w:cs="Arial"/>
          <w:b/>
          <w:bCs/>
          <w:color w:val="00B0F0"/>
          <w:sz w:val="28"/>
          <w:szCs w:val="28"/>
          <w:lang w:val="en-US" w:eastAsia="zh-CN"/>
        </w:rPr>
        <w:t>免疫治疗相关Biomarker检测结果</w:t>
      </w:r>
    </w:p>
    <w:tbl>
      <w:tblPr>
        <w:tblStyle w:val="21"/>
        <w:tblW w:w="5000" w:type="pct"/>
        <w:tblInd w:w="0" w:type="dxa"/>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Layout w:type="autofit"/>
        <w:tblCellMar>
          <w:top w:w="0" w:type="dxa"/>
          <w:left w:w="108" w:type="dxa"/>
          <w:bottom w:w="0" w:type="dxa"/>
          <w:right w:w="108" w:type="dxa"/>
        </w:tblCellMar>
      </w:tblPr>
      <w:tblGrid>
        <w:gridCol w:w="2461"/>
        <w:gridCol w:w="4108"/>
        <w:gridCol w:w="3286"/>
      </w:tblGrid>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567" w:hRule="atLeast"/>
        </w:trPr>
        <w:tc>
          <w:tcPr>
            <w:tcW w:w="9855" w:type="dxa"/>
            <w:gridSpan w:val="3"/>
            <w:tcBorders>
              <w:top w:val="nil"/>
              <w:left w:val="nil"/>
              <w:bottom w:val="single" w:color="FFFFFF" w:sz="24" w:space="0"/>
              <w:right w:val="nil"/>
            </w:tcBorders>
            <w:shd w:val="clear" w:color="auto" w:fill="00B050"/>
            <w:vAlign w:val="center"/>
          </w:tcPr>
          <w:p>
            <w:pPr>
              <w:snapToGrid w:val="0"/>
              <w:jc w:val="center"/>
              <w:rPr>
                <w:rFonts w:hAnsi="等线"/>
                <w:b/>
                <w:bCs/>
                <w:color w:val="FFFFFF" w:themeColor="background1"/>
                <w:sz w:val="24"/>
                <w:szCs w:val="24"/>
                <w14:textFill>
                  <w14:solidFill>
                    <w14:schemeClr w14:val="bg1"/>
                  </w14:solidFill>
                </w14:textFill>
              </w:rPr>
            </w:pPr>
            <w:bookmarkStart w:id="22" w:name="免疫治疗相关检测结果"/>
            <w:r>
              <w:rPr>
                <w:rFonts w:hint="eastAsia" w:hAnsi="等线"/>
                <w:b/>
                <w:bCs/>
                <w:color w:val="FFFFFF"/>
                <w:sz w:val="24"/>
                <w:szCs w:val="24"/>
              </w:rPr>
              <w:t>免疫治疗相关Biomarker检测结果</w:t>
            </w:r>
          </w:p>
        </w:tc>
      </w:tr>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Pr>
        <w:tc>
          <w:tcPr>
            <w:tcW w:w="2461" w:type="dxa"/>
            <w:tcBorders>
              <w:top w:val="single" w:color="FFFFFF" w:sz="24" w:space="0"/>
              <w:left w:val="single" w:color="FFFFFF" w:sz="24" w:space="0"/>
              <w:bottom w:val="single" w:color="FFFFFF" w:sz="24" w:space="0"/>
              <w:right w:val="single" w:color="FFFFFF" w:sz="24" w:space="0"/>
            </w:tcBorders>
            <w:shd w:val="clear" w:color="auto" w:fill="E7E6E6"/>
            <w:vAlign w:val="center"/>
          </w:tcPr>
          <w:p>
            <w:pPr>
              <w:snapToGrid w:val="0"/>
              <w:spacing w:before="156" w:beforeLines="50" w:after="156" w:afterLines="50"/>
              <w:jc w:val="center"/>
              <w:rPr>
                <w:rFonts w:hAnsi="等线"/>
                <w:szCs w:val="21"/>
              </w:rPr>
            </w:pPr>
            <w:r>
              <w:rPr>
                <w:rFonts w:hint="eastAsia" w:hAnsi="等线"/>
                <w:szCs w:val="21"/>
              </w:rPr>
              <w:t>检测项目</w:t>
            </w:r>
          </w:p>
        </w:tc>
        <w:tc>
          <w:tcPr>
            <w:tcW w:w="4108" w:type="dxa"/>
            <w:tcBorders>
              <w:top w:val="single" w:color="FFFFFF" w:sz="24" w:space="0"/>
              <w:left w:val="single" w:color="FFFFFF" w:sz="24" w:space="0"/>
              <w:bottom w:val="single" w:color="FFFFFF" w:sz="24" w:space="0"/>
              <w:right w:val="single" w:color="FFFFFF" w:sz="24" w:space="0"/>
            </w:tcBorders>
            <w:shd w:val="clear" w:color="auto" w:fill="E7E6E6"/>
            <w:vAlign w:val="center"/>
          </w:tcPr>
          <w:p>
            <w:pPr>
              <w:snapToGrid w:val="0"/>
              <w:spacing w:before="156" w:beforeLines="50" w:after="156" w:afterLines="50"/>
              <w:jc w:val="center"/>
              <w:rPr>
                <w:rFonts w:hAnsi="等线"/>
                <w:szCs w:val="21"/>
              </w:rPr>
            </w:pPr>
            <w:r>
              <w:rPr>
                <w:rFonts w:hint="eastAsia" w:hAnsi="等线"/>
                <w:szCs w:val="21"/>
              </w:rPr>
              <w:t>检测结果</w:t>
            </w:r>
          </w:p>
        </w:tc>
        <w:tc>
          <w:tcPr>
            <w:tcW w:w="3286" w:type="dxa"/>
            <w:tcBorders>
              <w:top w:val="single" w:color="FFFFFF" w:sz="24" w:space="0"/>
              <w:left w:val="single" w:color="FFFFFF" w:sz="24" w:space="0"/>
              <w:bottom w:val="single" w:color="FFFFFF" w:sz="24" w:space="0"/>
              <w:right w:val="single" w:color="FFFFFF" w:sz="24" w:space="0"/>
            </w:tcBorders>
            <w:shd w:val="clear" w:color="auto" w:fill="E7E6E6"/>
            <w:vAlign w:val="center"/>
          </w:tcPr>
          <w:p>
            <w:pPr>
              <w:snapToGrid w:val="0"/>
              <w:spacing w:before="156" w:beforeLines="50" w:after="156" w:afterLines="50"/>
              <w:jc w:val="center"/>
              <w:rPr>
                <w:rFonts w:hAnsi="等线"/>
                <w:szCs w:val="21"/>
              </w:rPr>
            </w:pPr>
            <w:r>
              <w:rPr>
                <w:rFonts w:hint="eastAsia" w:hAnsi="等线"/>
                <w:szCs w:val="21"/>
              </w:rPr>
              <w:t>免疫治疗提示</w:t>
            </w:r>
          </w:p>
        </w:tc>
      </w:tr>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680" w:hRule="atLeast"/>
        </w:trPr>
        <w:tc>
          <w:tcPr>
            <w:tcW w:w="2461"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spacing w:before="62" w:beforeLines="20" w:after="62" w:afterLines="20"/>
              <w:jc w:val="center"/>
              <w:rPr>
                <w:rFonts w:hint="eastAsia" w:hAnsi="等线" w:eastAsia="等线"/>
                <w:szCs w:val="21"/>
                <w:lang w:eastAsia="zh-CN"/>
              </w:rPr>
            </w:pPr>
            <w:r>
              <w:rPr>
                <w:rFonts w:hint="eastAsia" w:hAnsi="等线"/>
                <w:szCs w:val="21"/>
              </w:rPr>
              <w:t>微卫星不稳定性</w:t>
            </w:r>
          </w:p>
          <w:p>
            <w:pPr>
              <w:snapToGrid w:val="0"/>
              <w:spacing w:before="62" w:beforeLines="20" w:after="62" w:afterLines="20"/>
              <w:jc w:val="center"/>
              <w:rPr>
                <w:rFonts w:hAnsi="等线"/>
                <w:szCs w:val="21"/>
              </w:rPr>
            </w:pPr>
            <w:r>
              <w:rPr>
                <w:rFonts w:hint="eastAsia" w:hAnsi="等线"/>
                <w:szCs w:val="21"/>
              </w:rPr>
              <w:t>（M</w:t>
            </w:r>
            <w:r>
              <w:rPr>
                <w:rFonts w:hAnsi="等线"/>
                <w:szCs w:val="21"/>
              </w:rPr>
              <w:t>SI</w:t>
            </w:r>
            <w:r>
              <w:rPr>
                <w:rFonts w:hint="eastAsia" w:hAnsi="等线"/>
                <w:szCs w:val="21"/>
              </w:rPr>
              <w:t>）检测</w:t>
            </w:r>
          </w:p>
        </w:tc>
        <w:tc>
          <w:tcPr>
            <w:tcW w:w="4108"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eastAsia="等线"/>
                <w:lang w:eastAsia="zh-CN"/>
              </w:rPr>
            </w:pPr>
            <w:r>
              <w:t xml:space="preserve">MSS</w:t>
            </w:r>
          </w:p>
        </w:tc>
        <w:tc>
          <w:tcPr>
            <w:tcW w:w="328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spacing w:before="62" w:beforeLines="20" w:after="62" w:afterLines="20"/>
              <w:jc w:val="center"/>
              <w:rPr>
                <w:rFonts w:hint="eastAsia" w:hAnsi="等线" w:eastAsia="等线"/>
                <w:szCs w:val="21"/>
                <w:lang w:eastAsia="zh-CN"/>
              </w:rPr>
            </w:pPr>
            <w:r>
              <w:t xml:space="preserve">对免疫检查点抑制剂可能不敏感</w:t>
            </w:r>
          </w:p>
        </w:tc>
      </w:tr>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680" w:hRule="atLeast"/>
        </w:trPr>
        <w:tc>
          <w:tcPr>
            <w:tcW w:w="2461"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spacing w:before="62" w:beforeLines="20" w:after="62" w:afterLines="20"/>
              <w:jc w:val="center"/>
              <w:rPr>
                <w:rFonts w:hint="eastAsia" w:hAnsi="等线" w:eastAsia="等线"/>
                <w:szCs w:val="21"/>
                <w:lang w:eastAsia="zh-CN"/>
              </w:rPr>
            </w:pPr>
            <w:r>
              <w:rPr>
                <w:rFonts w:hint="eastAsia" w:hAnsi="等线"/>
                <w:szCs w:val="21"/>
              </w:rPr>
              <w:t>错配修复系统</w:t>
            </w:r>
          </w:p>
          <w:p>
            <w:pPr>
              <w:snapToGrid w:val="0"/>
              <w:spacing w:before="62" w:beforeLines="20" w:after="62" w:afterLines="20"/>
              <w:jc w:val="center"/>
              <w:rPr>
                <w:rFonts w:hAnsi="等线"/>
                <w:szCs w:val="21"/>
              </w:rPr>
            </w:pPr>
            <w:r>
              <w:rPr>
                <w:rFonts w:hint="eastAsia" w:hAnsi="等线"/>
                <w:szCs w:val="21"/>
              </w:rPr>
              <w:t>（M</w:t>
            </w:r>
            <w:r>
              <w:rPr>
                <w:rFonts w:hAnsi="等线"/>
                <w:szCs w:val="21"/>
              </w:rPr>
              <w:t>MR</w:t>
            </w:r>
            <w:r>
              <w:rPr>
                <w:rFonts w:hint="eastAsia" w:hAnsi="等线"/>
                <w:szCs w:val="21"/>
              </w:rPr>
              <w:t>）检测</w:t>
            </w:r>
          </w:p>
        </w:tc>
        <w:tc>
          <w:tcPr>
            <w:tcW w:w="4108"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eastAsia="等线"/>
                <w:lang w:eastAsia="zh-CN"/>
              </w:rPr>
            </w:pPr>
            <w:r>
              <w:rPr>
                <w:rFonts w:hint="eastAsia"/>
              </w:rPr>
              <w:t xml:space="preserve">MSH2 p.E809K</w:t>
            </w:r>
          </w:p>
        </w:tc>
        <w:tc>
          <w:tcPr>
            <w:tcW w:w="328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spacing w:before="62" w:beforeLines="20" w:after="62" w:afterLines="20"/>
              <w:jc w:val="center"/>
              <w:rPr>
                <w:rFonts w:hint="eastAsia" w:hAnsi="等线" w:eastAsia="等线"/>
                <w:szCs w:val="21"/>
                <w:lang w:eastAsia="zh-CN"/>
              </w:rPr>
            </w:pPr>
            <w:r>
              <w:rPr>
                <w:rFonts w:hint="eastAsia" w:hAnsi="等线"/>
                <w:szCs w:val="21"/>
              </w:rPr>
              <w:t xml:space="preserve">对免疫检查点抑制剂可能敏感</w:t>
            </w:r>
          </w:p>
        </w:tc>
      </w:tr>
      <w:bookmarkEnd w:id="22"/>
    </w:tbl>
    <w:p>
      <w:pPr>
        <w:rPr>
          <w:rFonts w:hAnsi="等线"/>
          <w:szCs w:val="21"/>
        </w:rPr>
      </w:pPr>
      <w:r>
        <w:rPr>
          <w:rFonts w:hAnsi="等线"/>
          <w:szCs w:val="21"/>
        </w:rPr>
        <w:br w:type="page"/>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outlineLvl w:val="1"/>
        <w:rPr>
          <w:rFonts w:hAnsi="等线"/>
          <w:szCs w:val="21"/>
        </w:rPr>
      </w:pPr>
      <w:r>
        <w:rPr>
          <w:rFonts w:hint="eastAsia" w:hAnsi="等线" w:cs="Arial"/>
          <w:b/>
          <w:bCs/>
          <w:color w:val="00B0F0"/>
          <w:sz w:val="28"/>
          <w:szCs w:val="28"/>
        </w:rPr>
        <w:drawing>
          <wp:anchor distT="0" distB="0" distL="114300" distR="114300" simplePos="0" relativeHeight="251700224" behindDoc="0" locked="0" layoutInCell="1" allowOverlap="1">
            <wp:simplePos x="0" y="0"/>
            <wp:positionH relativeFrom="column">
              <wp:posOffset>90170</wp:posOffset>
            </wp:positionH>
            <wp:positionV relativeFrom="paragraph">
              <wp:posOffset>55880</wp:posOffset>
            </wp:positionV>
            <wp:extent cx="272415" cy="277495"/>
            <wp:effectExtent l="0" t="0" r="1905" b="12065"/>
            <wp:wrapNone/>
            <wp:docPr id="1013" name="图片 78" descr="资源 1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资源 1229"/>
                    <pic:cNvPicPr>
                      <a:picLocks noChangeAspect="1"/>
                    </pic:cNvPicPr>
                  </pic:nvPicPr>
                  <pic:blipFill>
                    <a:blip r:embed="rId12"/>
                    <a:stretch>
                      <a:fillRect/>
                    </a:stretch>
                  </pic:blipFill>
                  <pic:spPr>
                    <a:xfrm>
                      <a:off x="0" y="0"/>
                      <a:ext cx="272415" cy="277495"/>
                    </a:xfrm>
                    <a:prstGeom prst="rect">
                      <a:avLst/>
                    </a:prstGeom>
                  </pic:spPr>
                </pic:pic>
              </a:graphicData>
            </a:graphic>
          </wp:anchor>
        </w:drawing>
      </w:r>
      <w:r>
        <w:rPr>
          <w:rFonts w:hint="eastAsia" w:hAnsi="等线" w:cs="Arial"/>
          <w:b/>
          <w:bCs/>
          <w:color w:val="00B0F0"/>
          <w:sz w:val="28"/>
          <w:szCs w:val="28"/>
          <w:lang w:val="en-US" w:eastAsia="zh-CN"/>
        </w:rPr>
        <w:t xml:space="preserve">     </w:t>
      </w:r>
      <w:bookmarkStart w:id="23" w:name="化疗用药多态性位点小结"/>
      <w:bookmarkEnd w:id="23"/>
      <w:r>
        <w:rPr>
          <w:rFonts w:hint="eastAsia" w:hAnsi="等线" w:cs="Arial"/>
          <w:b/>
          <w:bCs/>
          <w:color w:val="00B0F0"/>
          <w:sz w:val="28"/>
          <w:szCs w:val="28"/>
          <w:lang w:val="en-US" w:eastAsia="zh-CN"/>
        </w:rPr>
        <w:t>化疗用药多态性位点</w:t>
      </w:r>
      <w:r>
        <w:rPr>
          <w:rFonts w:hint="eastAsia" w:hAnsi="等线" w:cs="Arial"/>
          <w:b/>
          <w:bCs/>
          <w:color w:val="00B0F0"/>
          <w:sz w:val="28"/>
          <w:szCs w:val="28"/>
        </w:rPr>
        <w:t>检测结果</w:t>
      </w:r>
    </w:p>
    <w:tbl>
      <w:tblPr>
        <w:tblStyle w:val="21"/>
        <w:tblW w:w="5000" w:type="pct"/>
        <w:tblInd w:w="0" w:type="dxa"/>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Layout w:type="autofit"/>
        <w:tblCellMar>
          <w:top w:w="0" w:type="dxa"/>
          <w:left w:w="108" w:type="dxa"/>
          <w:bottom w:w="0" w:type="dxa"/>
          <w:right w:w="108" w:type="dxa"/>
        </w:tblCellMar>
      </w:tblPr>
      <w:tblGrid>
        <w:gridCol w:w="2461"/>
        <w:gridCol w:w="7394"/>
      </w:tblGrid>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567" w:hRule="atLeast"/>
        </w:trPr>
        <w:tc>
          <w:tcPr>
            <w:tcW w:w="9855" w:type="dxa"/>
            <w:gridSpan w:val="2"/>
            <w:tcBorders>
              <w:top w:val="nil"/>
              <w:left w:val="nil"/>
              <w:bottom w:val="single" w:color="FFFFFF" w:sz="24" w:space="0"/>
              <w:right w:val="nil"/>
            </w:tcBorders>
            <w:shd w:val="clear" w:color="auto" w:fill="F18E2D"/>
            <w:vAlign w:val="center"/>
          </w:tcPr>
          <w:p>
            <w:pPr>
              <w:snapToGrid w:val="0"/>
              <w:jc w:val="center"/>
              <w:rPr>
                <w:rFonts w:hAnsi="等线"/>
                <w:b/>
                <w:bCs/>
                <w:sz w:val="24"/>
                <w:szCs w:val="24"/>
              </w:rPr>
            </w:pPr>
            <w:bookmarkStart w:id="24" w:name="化疗检测结果"/>
            <w:r>
              <w:rPr>
                <w:rFonts w:hint="eastAsia" w:hAnsi="等线"/>
                <w:b/>
                <w:bCs/>
                <w:color w:val="FFFFFF"/>
                <w:sz w:val="24"/>
                <w:szCs w:val="24"/>
              </w:rPr>
              <w:t>化疗用药多态性位点检测结果</w:t>
            </w:r>
          </w:p>
        </w:tc>
      </w:tr>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907" w:hRule="atLeast"/>
        </w:trPr>
        <w:tc>
          <w:tcPr>
            <w:tcW w:w="2461" w:type="dxa"/>
            <w:tcBorders>
              <w:top w:val="single" w:color="FFFFFF" w:sz="24" w:space="0"/>
              <w:left w:val="single" w:color="FFFFFF" w:sz="24" w:space="0"/>
              <w:bottom w:val="single" w:color="FFFFFF" w:sz="24" w:space="0"/>
              <w:right w:val="single" w:color="FFFFFF" w:sz="24" w:space="0"/>
            </w:tcBorders>
            <w:shd w:val="clear" w:color="auto" w:fill="E7E6E6"/>
            <w:vAlign w:val="center"/>
          </w:tcPr>
          <w:p>
            <w:pPr>
              <w:snapToGrid w:val="0"/>
              <w:spacing w:before="156" w:beforeLines="50" w:after="156" w:afterLines="50"/>
              <w:jc w:val="center"/>
              <w:rPr>
                <w:rFonts w:hAnsi="等线"/>
                <w:color w:val="00B050"/>
                <w:szCs w:val="21"/>
              </w:rPr>
            </w:pPr>
            <w:r>
              <w:rPr>
                <w:rFonts w:hint="eastAsia" w:hAnsi="等线"/>
                <w:color w:val="00B050"/>
                <w:szCs w:val="21"/>
              </w:rPr>
              <w:t xml:space="preserve">推荐药物</w:t>
            </w:r>
          </w:p>
        </w:tc>
        <w:tc>
          <w:tcPr>
            <w:tcW w:w="73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rPr>
                <w:rFonts w:hint="eastAsia" w:hAnsi="等线"/>
                <w:szCs w:val="21"/>
                <w:lang w:val="en-US" w:eastAsia="zh-CN"/>
              </w:rPr>
            </w:pPr>
            <w:r>
              <w:rPr>
                <w:rFonts w:hint="eastAsia" w:hAnsi="等线"/>
                <w:szCs w:val="21"/>
                <w:lang w:val="en-US" w:eastAsia="zh-CN"/>
              </w:rPr>
              <w:t xml:space="preserve">环磷酰胺,顺铂,卡培他滨,替加氟,替吉奥,吉西他滨,伊立替康,依托泊苷,紫杉醇,丝裂霉素,表柔比星,昂丹司琼,格拉司琼</w:t>
            </w:r>
          </w:p>
        </w:tc>
      </w:tr>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680" w:hRule="atLeast"/>
        </w:trPr>
        <w:tc>
          <w:tcPr>
            <w:tcW w:w="2461" w:type="dxa"/>
            <w:tcBorders>
              <w:top w:val="single" w:color="FFFFFF" w:sz="24" w:space="0"/>
              <w:left w:val="single" w:color="FFFFFF" w:sz="24" w:space="0"/>
              <w:bottom w:val="single" w:color="FFFFFF" w:sz="24" w:space="0"/>
              <w:right w:val="single" w:color="FFFFFF" w:sz="24" w:space="0"/>
            </w:tcBorders>
            <w:shd w:val="clear" w:color="auto" w:fill="E7E6E6"/>
            <w:vAlign w:val="center"/>
          </w:tcPr>
          <w:p>
            <w:pPr>
              <w:snapToGrid w:val="0"/>
              <w:spacing w:before="156" w:beforeLines="50" w:after="156" w:afterLines="50"/>
              <w:jc w:val="center"/>
              <w:rPr>
                <w:rFonts w:hAnsi="等线"/>
                <w:szCs w:val="21"/>
              </w:rPr>
            </w:pPr>
            <w:r>
              <w:rPr>
                <w:rFonts w:hint="eastAsia" w:hAnsi="等线"/>
                <w:szCs w:val="21"/>
              </w:rPr>
              <w:t xml:space="preserve">可选药物</w:t>
            </w:r>
          </w:p>
        </w:tc>
        <w:tc>
          <w:tcPr>
            <w:tcW w:w="73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rPr>
                <w:rFonts w:hint="eastAsia" w:hAnsi="等线"/>
                <w:szCs w:val="21"/>
                <w:lang w:val="en-US" w:eastAsia="zh-CN"/>
              </w:rPr>
            </w:pPr>
            <w:r>
              <w:rPr>
                <w:rFonts w:hint="eastAsia" w:hAnsi="等线"/>
                <w:szCs w:val="21"/>
                <w:lang w:val="en-US" w:eastAsia="zh-CN"/>
              </w:rPr>
              <w:t xml:space="preserve">卡铂,奥沙利铂,甲氨蝶呤,多西他赛,多柔比星</w:t>
            </w:r>
          </w:p>
        </w:tc>
      </w:tr>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680" w:hRule="atLeast"/>
        </w:trPr>
        <w:tc>
          <w:tcPr>
            <w:tcW w:w="2461" w:type="dxa"/>
            <w:tcBorders>
              <w:top w:val="single" w:color="FFFFFF" w:sz="24" w:space="0"/>
              <w:left w:val="single" w:color="FFFFFF" w:sz="24" w:space="0"/>
              <w:bottom w:val="single" w:color="FFFFFF" w:sz="24" w:space="0"/>
              <w:right w:val="single" w:color="FFFFFF" w:sz="24" w:space="0"/>
            </w:tcBorders>
            <w:shd w:val="clear" w:color="auto" w:fill="E7E6E6"/>
            <w:vAlign w:val="center"/>
          </w:tcPr>
          <w:p>
            <w:pPr>
              <w:snapToGrid w:val="0"/>
              <w:spacing w:before="156" w:beforeLines="50" w:after="156" w:afterLines="50"/>
              <w:jc w:val="center"/>
              <w:rPr>
                <w:rFonts w:hAnsi="等线"/>
                <w:color w:val="FF0000"/>
                <w:szCs w:val="21"/>
              </w:rPr>
            </w:pPr>
            <w:r>
              <w:rPr>
                <w:rFonts w:hint="eastAsia" w:hAnsi="等线"/>
                <w:color w:val="FF0000"/>
                <w:szCs w:val="21"/>
              </w:rPr>
              <w:t xml:space="preserve">慎用药物</w:t>
            </w:r>
          </w:p>
        </w:tc>
        <w:tc>
          <w:tcPr>
            <w:tcW w:w="73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rPr>
                <w:rFonts w:hint="eastAsia" w:hAnsi="等线"/>
                <w:szCs w:val="21"/>
                <w:lang w:val="en-US" w:eastAsia="zh-CN"/>
              </w:rPr>
            </w:pPr>
            <w:r>
              <w:rPr>
                <w:rFonts w:hint="eastAsia" w:hAnsi="等线"/>
                <w:szCs w:val="21"/>
                <w:lang w:val="en-US" w:eastAsia="zh-CN"/>
              </w:rPr>
              <w:t xml:space="preserve">氟尿嘧啶,培美曲塞,长春新碱,长春瑞滨</w:t>
            </w:r>
          </w:p>
        </w:tc>
      </w:tr>
      <w:bookmarkEnd w:id="24"/>
    </w:tbl>
    <w:p>
      <w:bookmarkStart w:id="25" w:name="_Toc89103144"/>
      <w:bookmarkStart w:id="26" w:name="_Toc45207811"/>
    </w:p>
    <w:p/>
    <w:p>
      <w:pPr>
        <w:keepNext w:val="0"/>
        <w:keepLines w:val="0"/>
        <w:pageBreakBefore w:val="0"/>
        <w:widowControl w:val="0"/>
        <w:kinsoku/>
        <w:wordWrap/>
        <w:overflowPunct/>
        <w:topLinePunct w:val="0"/>
        <w:autoSpaceDE/>
        <w:autoSpaceDN/>
        <w:bidi w:val="0"/>
        <w:adjustRightInd/>
        <w:snapToGrid/>
        <w:textAlignment w:val="auto"/>
        <w:outlineLvl w:val="1"/>
        <w:rPr>
          <w:rFonts w:hint="eastAsia" w:hAnsi="等线" w:cs="Arial"/>
          <w:b/>
          <w:bCs/>
          <w:color w:val="00B0F0"/>
          <w:sz w:val="28"/>
          <w:szCs w:val="28"/>
        </w:rPr>
      </w:pPr>
      <w:r>
        <w:rPr>
          <w:rFonts w:hint="eastAsia" w:hAnsi="等线" w:cs="Arial"/>
          <w:b/>
          <w:bCs/>
          <w:color w:val="00B0F0"/>
          <w:sz w:val="28"/>
          <w:szCs w:val="28"/>
        </w:rPr>
        <w:drawing>
          <wp:anchor distT="0" distB="0" distL="114300" distR="114300" simplePos="0" relativeHeight="251697152" behindDoc="0" locked="0" layoutInCell="1" allowOverlap="1">
            <wp:simplePos x="0" y="0"/>
            <wp:positionH relativeFrom="column">
              <wp:posOffset>92710</wp:posOffset>
            </wp:positionH>
            <wp:positionV relativeFrom="paragraph">
              <wp:posOffset>63500</wp:posOffset>
            </wp:positionV>
            <wp:extent cx="272415" cy="277495"/>
            <wp:effectExtent l="0" t="0" r="1905" b="12065"/>
            <wp:wrapNone/>
            <wp:docPr id="1014" name="图片 43" descr="资源 1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资源 1229"/>
                    <pic:cNvPicPr>
                      <a:picLocks noChangeAspect="1"/>
                    </pic:cNvPicPr>
                  </pic:nvPicPr>
                  <pic:blipFill>
                    <a:blip r:embed="rId12"/>
                    <a:stretch>
                      <a:fillRect/>
                    </a:stretch>
                  </pic:blipFill>
                  <pic:spPr>
                    <a:xfrm>
                      <a:off x="0" y="0"/>
                      <a:ext cx="272415" cy="277495"/>
                    </a:xfrm>
                    <a:prstGeom prst="rect">
                      <a:avLst/>
                    </a:prstGeom>
                  </pic:spPr>
                </pic:pic>
              </a:graphicData>
            </a:graphic>
          </wp:anchor>
        </w:drawing>
      </w:r>
      <w:r>
        <w:rPr>
          <w:rFonts w:hAnsi="等线" w:cs="Arial"/>
          <w:b/>
          <w:bCs/>
          <w:color w:val="00B0F0"/>
          <w:sz w:val="28"/>
          <w:szCs w:val="28"/>
        </w:rPr>
        <w:t xml:space="preserve"> </w:t>
      </w:r>
      <w:r>
        <w:rPr>
          <w:rFonts w:hint="eastAsia" w:hAnsi="等线" w:cs="Arial"/>
          <w:b/>
          <w:bCs/>
          <w:color w:val="00B0F0"/>
          <w:sz w:val="28"/>
          <w:szCs w:val="28"/>
        </w:rPr>
        <w:t xml:space="preserve">    </w:t>
      </w:r>
      <w:bookmarkStart w:id="27" w:name="常用联合化疗方案药物提示"/>
      <w:bookmarkEnd w:id="27"/>
      <w:r>
        <w:rPr>
          <w:rFonts w:hint="eastAsia" w:hAnsi="等线" w:cs="Arial"/>
          <w:b/>
          <w:bCs/>
          <w:color w:val="00B0F0"/>
          <w:sz w:val="28"/>
          <w:szCs w:val="28"/>
        </w:rPr>
        <w:t>常用联合化疗方案药物提示</w:t>
      </w:r>
    </w:p>
    <w:tbl>
      <w:tblPr>
        <w:tblStyle w:val="21"/>
        <w:tblW w:w="5000" w:type="pct"/>
        <w:tblInd w:w="0" w:type="dxa"/>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Layout w:type="autofit"/>
        <w:tblCellMar>
          <w:top w:w="0" w:type="dxa"/>
          <w:left w:w="108" w:type="dxa"/>
          <w:bottom w:w="0" w:type="dxa"/>
          <w:right w:w="108" w:type="dxa"/>
        </w:tblCellMar>
      </w:tblPr>
      <w:tblGrid>
        <w:gridCol w:w="1731"/>
        <w:gridCol w:w="4104"/>
        <w:gridCol w:w="2409"/>
        <w:gridCol w:w="1611"/>
      </w:tblGrid>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567" w:hRule="atLeast"/>
          <w:tblHeader/>
        </w:trPr>
        <w:tc>
          <w:tcPr>
            <w:tcW w:w="1731" w:type="dxa"/>
            <w:tcBorders>
              <w:top w:val="nil"/>
              <w:left w:val="nil"/>
              <w:bottom w:val="single" w:color="FFFFFF" w:sz="24" w:space="0"/>
              <w:right w:val="single" w:color="FFFFFF" w:sz="24" w:space="0"/>
            </w:tcBorders>
            <w:shd w:val="clear" w:color="auto" w:fill="F18E2D"/>
            <w:vAlign w:val="center"/>
          </w:tcPr>
          <w:p>
            <w:pPr>
              <w:snapToGrid w:val="0"/>
              <w:jc w:val="center"/>
              <w:rPr>
                <w:rFonts w:hint="eastAsia" w:hAnsi="等线" w:eastAsia="等线"/>
                <w:b/>
                <w:bCs/>
                <w:sz w:val="24"/>
                <w:szCs w:val="24"/>
                <w:lang w:val="en-US" w:eastAsia="zh-CN"/>
              </w:rPr>
            </w:pPr>
            <w:r>
              <w:rPr>
                <w:rFonts w:hint="eastAsia" w:hAnsi="等线"/>
                <w:b/>
                <w:bCs/>
                <w:color w:val="FFFFFF" w:themeColor="background1"/>
                <w:sz w:val="24"/>
                <w:szCs w:val="24"/>
                <w:lang w:val="en-US" w:eastAsia="zh-CN"/>
                <w14:textFill>
                  <w14:solidFill>
                    <w14:schemeClr w14:val="bg1"/>
                  </w14:solidFill>
                </w14:textFill>
              </w:rPr>
              <w:t>癌种</w:t>
            </w:r>
          </w:p>
        </w:tc>
        <w:tc>
          <w:tcPr>
            <w:tcW w:w="4104" w:type="dxa"/>
            <w:tcBorders>
              <w:top w:val="nil"/>
              <w:left w:val="single" w:color="FFFFFF" w:sz="24" w:space="0"/>
              <w:bottom w:val="single" w:color="FFFFFF" w:sz="24" w:space="0"/>
              <w:right w:val="single" w:color="FFFFFF" w:sz="24" w:space="0"/>
            </w:tcBorders>
            <w:shd w:val="clear" w:color="auto" w:fill="F18E2D"/>
            <w:vAlign w:val="center"/>
          </w:tcPr>
          <w:p>
            <w:pPr>
              <w:snapToGrid w:val="0"/>
              <w:jc w:val="center"/>
              <w:rPr>
                <w:rFonts w:hAnsi="等线"/>
                <w:b/>
                <w:bCs/>
                <w:sz w:val="24"/>
                <w:szCs w:val="24"/>
              </w:rPr>
            </w:pPr>
            <w:r>
              <w:rPr>
                <w:rFonts w:hint="eastAsia" w:hAnsi="等线"/>
                <w:b/>
                <w:bCs/>
                <w:color w:val="FFFFFF" w:themeColor="background1"/>
                <w:sz w:val="24"/>
                <w:szCs w:val="24"/>
                <w14:textFill>
                  <w14:solidFill>
                    <w14:schemeClr w14:val="bg1"/>
                  </w14:solidFill>
                </w14:textFill>
              </w:rPr>
              <w:t>用药方案</w:t>
            </w:r>
          </w:p>
        </w:tc>
        <w:tc>
          <w:tcPr>
            <w:tcW w:w="2409" w:type="dxa"/>
            <w:tcBorders>
              <w:top w:val="nil"/>
              <w:left w:val="single" w:color="FFFFFF" w:sz="24" w:space="0"/>
              <w:bottom w:val="single" w:color="FFFFFF" w:sz="24" w:space="0"/>
              <w:right w:val="single" w:color="FFFFFF" w:sz="24" w:space="0"/>
            </w:tcBorders>
            <w:shd w:val="clear" w:color="auto" w:fill="F18E2D"/>
            <w:vAlign w:val="center"/>
          </w:tcPr>
          <w:p>
            <w:pPr>
              <w:snapToGrid w:val="0"/>
              <w:jc w:val="center"/>
              <w:rPr>
                <w:rFonts w:hAnsi="等线"/>
                <w:b/>
                <w:bCs/>
                <w:sz w:val="24"/>
                <w:szCs w:val="24"/>
              </w:rPr>
            </w:pPr>
            <w:r>
              <w:rPr>
                <w:rFonts w:hint="eastAsia" w:hAnsi="等线"/>
                <w:b/>
                <w:bCs/>
                <w:color w:val="FFFFFF" w:themeColor="background1"/>
                <w:sz w:val="24"/>
                <w:szCs w:val="24"/>
                <w14:textFill>
                  <w14:solidFill>
                    <w14:schemeClr w14:val="bg1"/>
                  </w14:solidFill>
                </w14:textFill>
              </w:rPr>
              <w:t>方案缩写</w:t>
            </w:r>
          </w:p>
        </w:tc>
        <w:tc>
          <w:tcPr>
            <w:tcW w:w="1611" w:type="dxa"/>
            <w:tcBorders>
              <w:top w:val="nil"/>
              <w:left w:val="single" w:color="FFFFFF" w:sz="24" w:space="0"/>
              <w:bottom w:val="single" w:color="FFFFFF" w:sz="24" w:space="0"/>
              <w:right w:val="nil"/>
            </w:tcBorders>
            <w:shd w:val="clear" w:color="auto" w:fill="F18E2D"/>
            <w:vAlign w:val="center"/>
          </w:tcPr>
          <w:p>
            <w:pPr>
              <w:snapToGrid w:val="0"/>
              <w:jc w:val="center"/>
              <w:rPr>
                <w:rFonts w:hAnsi="等线"/>
                <w:b/>
                <w:bCs/>
                <w:sz w:val="24"/>
                <w:szCs w:val="24"/>
              </w:rPr>
            </w:pPr>
            <w:r>
              <w:rPr>
                <w:rFonts w:hint="eastAsia" w:hAnsi="等线"/>
                <w:b/>
                <w:bCs/>
                <w:color w:val="FFFFFF" w:themeColor="background1"/>
                <w:sz w:val="24"/>
                <w:szCs w:val="24"/>
                <w14:textFill>
                  <w14:solidFill>
                    <w14:schemeClr w14:val="bg1"/>
                  </w14:solidFill>
                </w14:textFill>
              </w:rPr>
              <w:t xml:space="preserve">临床提示</w:t>
            </w:r>
          </w:p>
        </w:tc>
      </w:tr>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482" w:hRule="atLeast"/>
        </w:trPr>
        <w:tc>
          <w:tcPr>
            <w:tcW w:w="1731" w:type="dxa"/>
            <w:tcBorders>
              <w:top w:val="single" w:color="FFFFFF" w:sz="24" w:space="0"/>
              <w:left w:val="single" w:color="FFFFFF" w:sz="24" w:space="0"/>
              <w:bottom w:val="single" w:color="FFFFFF" w:sz="24" w:space="0"/>
              <w:right w:val="single" w:color="FFFFFF" w:sz="24" w:space="0"/>
            </w:tcBorders>
            <w:shd w:val="clear" w:color="auto" w:fill="E7E6E6"/>
            <w:vAlign w:val="center"/>
            <w:vMerge w:val="restart"/>
          </w:tcPr>
          <w:p>
            <w:pPr>
              <w:widowControl/>
              <w:spacing w:line="360" w:lineRule="auto"/>
              <w:jc w:val="center"/>
              <w:rPr>
                <w:rFonts w:hint="eastAsia" w:ascii="等线" w:hAnsi="等线" w:eastAsia="等线" w:cs="Arial"/>
                <w:b/>
                <w:bCs/>
                <w:color w:val="000000"/>
                <w:kern w:val="2"/>
                <w:sz w:val="18"/>
                <w:szCs w:val="18"/>
                <w:lang w:val="en-US" w:eastAsia="zh-CN" w:bidi="ar-SA"/>
              </w:rPr>
            </w:pPr>
            <w:r>
              <w:rPr>
                <w:rFonts w:hint="eastAsia" w:hAnsi="等线" w:cs="Arial"/>
                <w:b/>
                <w:bCs/>
                <w:color w:val="000000"/>
                <w:sz w:val="18"/>
                <w:szCs w:val="18"/>
                <w:lang w:bidi="ar"/>
              </w:rPr>
              <w:t xml:space="preserve">结直肠癌</w:t>
            </w:r>
          </w:p>
        </w:tc>
        <w:tc>
          <w:tcPr>
            <w:tcW w:w="410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360" w:lineRule="auto"/>
              <w:jc w:val="center"/>
              <w:rPr>
                <w:rFonts w:ascii="等线" w:hAnsi="等线" w:eastAsia="等线" w:cs="Arial"/>
                <w:b/>
                <w:bCs/>
                <w:color w:val="000000"/>
                <w:kern w:val="2"/>
                <w:sz w:val="18"/>
                <w:szCs w:val="18"/>
                <w:lang w:val="en-US" w:eastAsia="zh-CN" w:bidi="ar-SA"/>
              </w:rPr>
            </w:pPr>
            <w:r>
              <w:rPr>
                <w:rFonts w:hint="eastAsia" w:ascii="等线" w:hAnsi="等线" w:eastAsia="等线" w:cs="等线"/>
                <w:b w:val="0"/>
                <w:bCs w:val="0"/>
                <w:kern w:val="2"/>
                <w:sz w:val="18"/>
                <w:szCs w:val="18"/>
                <w:lang w:val="en-US" w:eastAsia="zh-CN" w:bidi="ar"/>
              </w:rPr>
              <w:t xml:space="preserve">奥沙利铂+亚叶酸钙+氟尿嘧啶</w:t>
            </w:r>
          </w:p>
        </w:tc>
        <w:tc>
          <w:tcPr>
            <w:tcW w:w="240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等线" w:hAnsi="等线" w:eastAsia="等线" w:cs="Arial"/>
                <w:b/>
                <w:bCs/>
                <w:color w:val="000000"/>
                <w:kern w:val="2"/>
                <w:sz w:val="18"/>
                <w:szCs w:val="18"/>
                <w:lang w:val="en-US" w:eastAsia="zh-CN" w:bidi="ar-SA"/>
              </w:rPr>
            </w:pPr>
            <w:r>
              <w:rPr>
                <w:rFonts w:hint="eastAsia" w:ascii="等线" w:hAnsi="等线" w:eastAsia="等线" w:cs="等线"/>
                <w:b w:val="0"/>
                <w:bCs w:val="0"/>
                <w:kern w:val="2"/>
                <w:sz w:val="18"/>
                <w:szCs w:val="18"/>
                <w:lang w:val="en-US" w:eastAsia="zh-CN" w:bidi="ar"/>
              </w:rPr>
              <w:t xml:space="preserve">FOLFOX</w:t>
            </w:r>
          </w:p>
        </w:tc>
        <w:tc>
          <w:tcPr>
            <w:tcW w:w="1611"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default" w:ascii="等线" w:hAnsi="等线" w:eastAsia="等线" w:cs="等线"/>
                <w:kern w:val="2"/>
                <w:sz w:val="18"/>
                <w:szCs w:val="18"/>
                <w:lang w:val="en-US" w:eastAsia="zh-CN" w:bidi="ar"/>
              </w:rPr>
            </w:pPr>
            <w:r>
              <w:rPr>
                <w:rFonts w:hint="eastAsia" w:ascii="等线" w:hAnsi="等线" w:eastAsia="等线" w:cs="等线"/>
                <w:b w:val="0"/>
                <w:bCs w:val="0"/>
                <w:kern w:val="2"/>
                <w:sz w:val="18"/>
                <w:szCs w:val="18"/>
                <w:lang w:val="en-US" w:eastAsia="zh-CN" w:bidi="ar"/>
              </w:rPr>
              <w:t xml:space="preserve">慎用</w:t>
            </w:r>
          </w:p>
        </w:tc>
      </w:tr>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482" w:hRule="atLeast"/>
        </w:trPr>
        <w:tc>
          <w:tcPr>
            <w:tcW w:w="1731" w:type="dxa"/>
            <w:tcBorders>
              <w:top w:val="single" w:color="FFFFFF" w:sz="24" w:space="0"/>
              <w:left w:val="single" w:color="FFFFFF" w:sz="24" w:space="0"/>
              <w:bottom w:val="single" w:color="FFFFFF" w:sz="24" w:space="0"/>
              <w:right w:val="single" w:color="FFFFFF" w:sz="24" w:space="0"/>
            </w:tcBorders>
            <w:shd w:val="clear" w:color="auto" w:fill="E7E6E6"/>
            <w:vAlign w:val="center"/>
            <w:vMerge w:val="continue"/>
          </w:tcPr>
          <w:p>
            <w:pPr>
              <w:widowControl/>
              <w:spacing w:line="360" w:lineRule="auto"/>
              <w:jc w:val="center"/>
              <w:rPr>
                <w:rFonts w:hint="eastAsia" w:ascii="等线" w:hAnsi="等线" w:eastAsia="等线" w:cs="Arial"/>
                <w:b/>
                <w:bCs/>
                <w:color w:val="000000"/>
                <w:kern w:val="2"/>
                <w:sz w:val="18"/>
                <w:szCs w:val="18"/>
                <w:lang w:val="en-US" w:eastAsia="zh-CN" w:bidi="ar-SA"/>
              </w:rPr>
            </w:pPr>
            <w:r>
              <w:rPr>
                <w:rFonts w:hint="eastAsia" w:hAnsi="等线" w:cs="Arial"/>
                <w:b/>
                <w:bCs/>
                <w:color w:val="000000"/>
                <w:sz w:val="18"/>
                <w:szCs w:val="18"/>
                <w:lang w:bidi="ar"/>
              </w:rPr>
              <w:t xml:space="preserve"/>
            </w:r>
          </w:p>
        </w:tc>
        <w:tc>
          <w:tcPr>
            <w:tcW w:w="410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360" w:lineRule="auto"/>
              <w:jc w:val="center"/>
              <w:rPr>
                <w:rFonts w:ascii="等线" w:hAnsi="等线" w:eastAsia="等线" w:cs="Arial"/>
                <w:b/>
                <w:bCs/>
                <w:color w:val="000000"/>
                <w:kern w:val="2"/>
                <w:sz w:val="18"/>
                <w:szCs w:val="18"/>
                <w:lang w:val="en-US" w:eastAsia="zh-CN" w:bidi="ar-SA"/>
              </w:rPr>
            </w:pPr>
            <w:r>
              <w:rPr>
                <w:rFonts w:hint="eastAsia" w:ascii="等线" w:hAnsi="等线" w:eastAsia="等线" w:cs="等线"/>
                <w:b w:val="0"/>
                <w:bCs w:val="0"/>
                <w:kern w:val="2"/>
                <w:sz w:val="18"/>
                <w:szCs w:val="18"/>
                <w:lang w:val="en-US" w:eastAsia="zh-CN" w:bidi="ar"/>
              </w:rPr>
              <w:t xml:space="preserve">伊立替康+亚叶酸钙+氟尿嘧啶</w:t>
            </w:r>
          </w:p>
        </w:tc>
        <w:tc>
          <w:tcPr>
            <w:tcW w:w="240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等线" w:hAnsi="等线" w:eastAsia="等线" w:cs="Arial"/>
                <w:b/>
                <w:bCs/>
                <w:color w:val="000000"/>
                <w:kern w:val="2"/>
                <w:sz w:val="18"/>
                <w:szCs w:val="18"/>
                <w:lang w:val="en-US" w:eastAsia="zh-CN" w:bidi="ar-SA"/>
              </w:rPr>
            </w:pPr>
            <w:r>
              <w:rPr>
                <w:rFonts w:hint="eastAsia" w:ascii="等线" w:hAnsi="等线" w:eastAsia="等线" w:cs="等线"/>
                <w:b w:val="0"/>
                <w:bCs w:val="0"/>
                <w:kern w:val="2"/>
                <w:sz w:val="18"/>
                <w:szCs w:val="18"/>
                <w:lang w:val="en-US" w:eastAsia="zh-CN" w:bidi="ar"/>
              </w:rPr>
              <w:t xml:space="preserve">FOLFIRI</w:t>
            </w:r>
          </w:p>
        </w:tc>
        <w:tc>
          <w:tcPr>
            <w:tcW w:w="1611"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default" w:ascii="等线" w:hAnsi="等线" w:eastAsia="等线" w:cs="等线"/>
                <w:kern w:val="2"/>
                <w:sz w:val="18"/>
                <w:szCs w:val="18"/>
                <w:lang w:val="en-US" w:eastAsia="zh-CN" w:bidi="ar"/>
              </w:rPr>
            </w:pPr>
            <w:r>
              <w:rPr>
                <w:rFonts w:hint="eastAsia" w:ascii="等线" w:hAnsi="等线" w:eastAsia="等线" w:cs="等线"/>
                <w:b w:val="0"/>
                <w:bCs w:val="0"/>
                <w:kern w:val="2"/>
                <w:sz w:val="18"/>
                <w:szCs w:val="18"/>
                <w:lang w:val="en-US" w:eastAsia="zh-CN" w:bidi="ar"/>
              </w:rPr>
              <w:t xml:space="preserve">慎用</w:t>
            </w:r>
          </w:p>
        </w:tc>
      </w:tr>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482" w:hRule="atLeast"/>
        </w:trPr>
        <w:tc>
          <w:tcPr>
            <w:tcW w:w="1731" w:type="dxa"/>
            <w:tcBorders>
              <w:top w:val="single" w:color="FFFFFF" w:sz="24" w:space="0"/>
              <w:left w:val="single" w:color="FFFFFF" w:sz="24" w:space="0"/>
              <w:bottom w:val="single" w:color="FFFFFF" w:sz="24" w:space="0"/>
              <w:right w:val="single" w:color="FFFFFF" w:sz="24" w:space="0"/>
            </w:tcBorders>
            <w:shd w:val="clear" w:color="auto" w:fill="E7E6E6"/>
            <w:vAlign w:val="center"/>
            <w:vMerge w:val="continue"/>
          </w:tcPr>
          <w:p>
            <w:pPr>
              <w:widowControl/>
              <w:spacing w:line="360" w:lineRule="auto"/>
              <w:jc w:val="center"/>
              <w:rPr>
                <w:rFonts w:hint="eastAsia" w:ascii="等线" w:hAnsi="等线" w:eastAsia="等线" w:cs="Arial"/>
                <w:b/>
                <w:bCs/>
                <w:color w:val="000000"/>
                <w:kern w:val="2"/>
                <w:sz w:val="18"/>
                <w:szCs w:val="18"/>
                <w:lang w:val="en-US" w:eastAsia="zh-CN" w:bidi="ar-SA"/>
              </w:rPr>
            </w:pPr>
            <w:r>
              <w:rPr>
                <w:rFonts w:hint="eastAsia" w:hAnsi="等线" w:cs="Arial"/>
                <w:b/>
                <w:bCs/>
                <w:color w:val="000000"/>
                <w:sz w:val="18"/>
                <w:szCs w:val="18"/>
                <w:lang w:bidi="ar"/>
              </w:rPr>
              <w:t xml:space="preserve"/>
            </w:r>
          </w:p>
        </w:tc>
        <w:tc>
          <w:tcPr>
            <w:tcW w:w="410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360" w:lineRule="auto"/>
              <w:jc w:val="center"/>
              <w:rPr>
                <w:rFonts w:ascii="等线" w:hAnsi="等线" w:eastAsia="等线" w:cs="Arial"/>
                <w:b/>
                <w:bCs/>
                <w:color w:val="000000"/>
                <w:kern w:val="2"/>
                <w:sz w:val="18"/>
                <w:szCs w:val="18"/>
                <w:lang w:val="en-US" w:eastAsia="zh-CN" w:bidi="ar-SA"/>
              </w:rPr>
            </w:pPr>
            <w:r>
              <w:rPr>
                <w:rFonts w:hint="eastAsia" w:ascii="等线" w:hAnsi="等线" w:eastAsia="等线" w:cs="等线"/>
                <w:b w:val="0"/>
                <w:bCs w:val="0"/>
                <w:kern w:val="2"/>
                <w:sz w:val="18"/>
                <w:szCs w:val="18"/>
                <w:lang w:val="en-US" w:eastAsia="zh-CN" w:bidi="ar"/>
              </w:rPr>
              <w:t xml:space="preserve">奥沙利铂+卡培他滨</w:t>
            </w:r>
          </w:p>
        </w:tc>
        <w:tc>
          <w:tcPr>
            <w:tcW w:w="240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等线" w:hAnsi="等线" w:eastAsia="等线" w:cs="Arial"/>
                <w:b/>
                <w:bCs/>
                <w:color w:val="000000"/>
                <w:kern w:val="2"/>
                <w:sz w:val="18"/>
                <w:szCs w:val="18"/>
                <w:lang w:val="en-US" w:eastAsia="zh-CN" w:bidi="ar-SA"/>
              </w:rPr>
            </w:pPr>
            <w:r>
              <w:rPr>
                <w:rFonts w:hint="eastAsia" w:ascii="等线" w:hAnsi="等线" w:eastAsia="等线" w:cs="等线"/>
                <w:b w:val="0"/>
                <w:bCs w:val="0"/>
                <w:kern w:val="2"/>
                <w:sz w:val="18"/>
                <w:szCs w:val="18"/>
                <w:lang w:val="en-US" w:eastAsia="zh-CN" w:bidi="ar"/>
              </w:rPr>
              <w:t xml:space="preserve">CAPEOX（又称Xelox）</w:t>
            </w:r>
          </w:p>
        </w:tc>
        <w:tc>
          <w:tcPr>
            <w:tcW w:w="1611"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default" w:ascii="等线" w:hAnsi="等线" w:eastAsia="等线" w:cs="等线"/>
                <w:kern w:val="2"/>
                <w:sz w:val="18"/>
                <w:szCs w:val="18"/>
                <w:lang w:val="en-US" w:eastAsia="zh-CN" w:bidi="ar"/>
              </w:rPr>
            </w:pPr>
            <w:r>
              <w:rPr>
                <w:rFonts w:hint="eastAsia" w:ascii="等线" w:hAnsi="等线" w:eastAsia="等线" w:cs="等线"/>
                <w:b w:val="0"/>
                <w:bCs w:val="0"/>
                <w:kern w:val="2"/>
                <w:sz w:val="18"/>
                <w:szCs w:val="18"/>
                <w:lang w:val="en-US" w:eastAsia="zh-CN" w:bidi="ar"/>
              </w:rPr>
              <w:t xml:space="preserve">推荐</w:t>
            </w:r>
          </w:p>
        </w:tc>
      </w:tr>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482" w:hRule="atLeast"/>
        </w:trPr>
        <w:tc>
          <w:tcPr>
            <w:tcW w:w="1731" w:type="dxa"/>
            <w:tcBorders>
              <w:top w:val="single" w:color="FFFFFF" w:sz="24" w:space="0"/>
              <w:left w:val="single" w:color="FFFFFF" w:sz="24" w:space="0"/>
              <w:bottom w:val="single" w:color="FFFFFF" w:sz="24" w:space="0"/>
              <w:right w:val="single" w:color="FFFFFF" w:sz="24" w:space="0"/>
            </w:tcBorders>
            <w:shd w:val="clear" w:color="auto" w:fill="E7E6E6"/>
            <w:vAlign w:val="center"/>
            <w:vMerge w:val="continue"/>
          </w:tcPr>
          <w:p>
            <w:pPr>
              <w:widowControl/>
              <w:spacing w:line="360" w:lineRule="auto"/>
              <w:jc w:val="center"/>
              <w:rPr>
                <w:rFonts w:hint="eastAsia" w:ascii="等线" w:hAnsi="等线" w:eastAsia="等线" w:cs="Arial"/>
                <w:b/>
                <w:bCs/>
                <w:color w:val="000000"/>
                <w:kern w:val="2"/>
                <w:sz w:val="18"/>
                <w:szCs w:val="18"/>
                <w:lang w:val="en-US" w:eastAsia="zh-CN" w:bidi="ar-SA"/>
              </w:rPr>
            </w:pPr>
            <w:r>
              <w:rPr>
                <w:rFonts w:hint="eastAsia" w:hAnsi="等线" w:cs="Arial"/>
                <w:b/>
                <w:bCs/>
                <w:color w:val="000000"/>
                <w:sz w:val="18"/>
                <w:szCs w:val="18"/>
                <w:lang w:bidi="ar"/>
              </w:rPr>
              <w:t xml:space="preserve"/>
            </w:r>
          </w:p>
        </w:tc>
        <w:tc>
          <w:tcPr>
            <w:tcW w:w="410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360" w:lineRule="auto"/>
              <w:jc w:val="center"/>
              <w:rPr>
                <w:rFonts w:ascii="等线" w:hAnsi="等线" w:eastAsia="等线" w:cs="Arial"/>
                <w:b/>
                <w:bCs/>
                <w:color w:val="000000"/>
                <w:kern w:val="2"/>
                <w:sz w:val="18"/>
                <w:szCs w:val="18"/>
                <w:lang w:val="en-US" w:eastAsia="zh-CN" w:bidi="ar-SA"/>
              </w:rPr>
            </w:pPr>
            <w:r>
              <w:rPr>
                <w:rFonts w:hint="eastAsia" w:ascii="等线" w:hAnsi="等线" w:eastAsia="等线" w:cs="等线"/>
                <w:b w:val="0"/>
                <w:bCs w:val="0"/>
                <w:kern w:val="2"/>
                <w:sz w:val="18"/>
                <w:szCs w:val="18"/>
                <w:lang w:val="en-US" w:eastAsia="zh-CN" w:bidi="ar"/>
              </w:rPr>
              <w:t xml:space="preserve">伊立替康+奥沙利铂+亚叶酸钙+氟尿嘧啶</w:t>
            </w:r>
          </w:p>
        </w:tc>
        <w:tc>
          <w:tcPr>
            <w:tcW w:w="240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等线" w:hAnsi="等线" w:eastAsia="等线" w:cs="Arial"/>
                <w:b/>
                <w:bCs/>
                <w:color w:val="000000"/>
                <w:kern w:val="2"/>
                <w:sz w:val="18"/>
                <w:szCs w:val="18"/>
                <w:lang w:val="en-US" w:eastAsia="zh-CN" w:bidi="ar-SA"/>
              </w:rPr>
            </w:pPr>
            <w:r>
              <w:rPr>
                <w:rFonts w:hint="eastAsia" w:ascii="等线" w:hAnsi="等线" w:eastAsia="等线" w:cs="等线"/>
                <w:b w:val="0"/>
                <w:bCs w:val="0"/>
                <w:kern w:val="2"/>
                <w:sz w:val="18"/>
                <w:szCs w:val="18"/>
                <w:lang w:val="en-US" w:eastAsia="zh-CN" w:bidi="ar"/>
              </w:rPr>
              <w:t xml:space="preserve">FOLFOXIRI</w:t>
            </w:r>
          </w:p>
        </w:tc>
        <w:tc>
          <w:tcPr>
            <w:tcW w:w="1611"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default" w:ascii="等线" w:hAnsi="等线" w:eastAsia="等线" w:cs="等线"/>
                <w:kern w:val="2"/>
                <w:sz w:val="18"/>
                <w:szCs w:val="18"/>
                <w:lang w:val="en-US" w:eastAsia="zh-CN" w:bidi="ar"/>
              </w:rPr>
            </w:pPr>
            <w:r>
              <w:rPr>
                <w:rFonts w:hint="eastAsia" w:ascii="等线" w:hAnsi="等线" w:eastAsia="等线" w:cs="等线"/>
                <w:b w:val="0"/>
                <w:bCs w:val="0"/>
                <w:kern w:val="2"/>
                <w:sz w:val="18"/>
                <w:szCs w:val="18"/>
                <w:lang w:val="en-US" w:eastAsia="zh-CN" w:bidi="ar"/>
              </w:rPr>
              <w:t xml:space="preserve">慎用</w:t>
            </w:r>
          </w:p>
        </w:tc>
      </w:tr>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482" w:hRule="atLeast"/>
        </w:trPr>
        <w:tc>
          <w:tcPr>
            <w:tcW w:w="1731" w:type="dxa"/>
            <w:tcBorders>
              <w:top w:val="single" w:color="FFFFFF" w:sz="24" w:space="0"/>
              <w:left w:val="single" w:color="FFFFFF" w:sz="24" w:space="0"/>
              <w:bottom w:val="single" w:color="FFFFFF" w:sz="24" w:space="0"/>
              <w:right w:val="single" w:color="FFFFFF" w:sz="24" w:space="0"/>
            </w:tcBorders>
            <w:shd w:val="clear" w:color="auto" w:fill="E7E6E6"/>
            <w:vAlign w:val="center"/>
            <w:vMerge w:val="continue"/>
          </w:tcPr>
          <w:p>
            <w:pPr>
              <w:widowControl/>
              <w:spacing w:line="360" w:lineRule="auto"/>
              <w:jc w:val="center"/>
              <w:rPr>
                <w:rFonts w:hint="eastAsia" w:ascii="等线" w:hAnsi="等线" w:eastAsia="等线" w:cs="Arial"/>
                <w:b/>
                <w:bCs/>
                <w:color w:val="000000"/>
                <w:kern w:val="2"/>
                <w:sz w:val="18"/>
                <w:szCs w:val="18"/>
                <w:lang w:val="en-US" w:eastAsia="zh-CN" w:bidi="ar-SA"/>
              </w:rPr>
            </w:pPr>
            <w:r>
              <w:rPr>
                <w:rFonts w:hint="eastAsia" w:hAnsi="等线" w:cs="Arial"/>
                <w:b/>
                <w:bCs/>
                <w:color w:val="000000"/>
                <w:sz w:val="18"/>
                <w:szCs w:val="18"/>
                <w:lang w:bidi="ar"/>
              </w:rPr>
              <w:t xml:space="preserve"/>
            </w:r>
          </w:p>
        </w:tc>
        <w:tc>
          <w:tcPr>
            <w:tcW w:w="410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360" w:lineRule="auto"/>
              <w:jc w:val="center"/>
              <w:rPr>
                <w:rFonts w:ascii="等线" w:hAnsi="等线" w:eastAsia="等线" w:cs="Arial"/>
                <w:b/>
                <w:bCs/>
                <w:color w:val="000000"/>
                <w:kern w:val="2"/>
                <w:sz w:val="18"/>
                <w:szCs w:val="18"/>
                <w:lang w:val="en-US" w:eastAsia="zh-CN" w:bidi="ar-SA"/>
              </w:rPr>
            </w:pPr>
            <w:r>
              <w:rPr>
                <w:rFonts w:hint="eastAsia" w:ascii="等线" w:hAnsi="等线" w:eastAsia="等线" w:cs="等线"/>
                <w:b w:val="0"/>
                <w:bCs w:val="0"/>
                <w:kern w:val="2"/>
                <w:sz w:val="18"/>
                <w:szCs w:val="18"/>
                <w:lang w:val="en-US" w:eastAsia="zh-CN" w:bidi="ar"/>
              </w:rPr>
              <w:t xml:space="preserve">伊立替康+卡培他滨</w:t>
            </w:r>
          </w:p>
        </w:tc>
        <w:tc>
          <w:tcPr>
            <w:tcW w:w="240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等线" w:hAnsi="等线" w:eastAsia="等线" w:cs="Arial"/>
                <w:b/>
                <w:bCs/>
                <w:color w:val="000000"/>
                <w:kern w:val="2"/>
                <w:sz w:val="18"/>
                <w:szCs w:val="18"/>
                <w:lang w:val="en-US" w:eastAsia="zh-CN" w:bidi="ar-SA"/>
              </w:rPr>
            </w:pPr>
            <w:r>
              <w:rPr>
                <w:rFonts w:hint="eastAsia" w:ascii="等线" w:hAnsi="等线" w:eastAsia="等线" w:cs="等线"/>
                <w:b w:val="0"/>
                <w:bCs w:val="0"/>
                <w:kern w:val="2"/>
                <w:sz w:val="18"/>
                <w:szCs w:val="18"/>
                <w:lang w:val="en-US" w:eastAsia="zh-CN" w:bidi="ar"/>
              </w:rPr>
              <w:t xml:space="preserve">CapIRI或XELIRI</w:t>
            </w:r>
          </w:p>
        </w:tc>
        <w:tc>
          <w:tcPr>
            <w:tcW w:w="1611"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default" w:ascii="等线" w:hAnsi="等线" w:eastAsia="等线" w:cs="等线"/>
                <w:kern w:val="2"/>
                <w:sz w:val="18"/>
                <w:szCs w:val="18"/>
                <w:lang w:val="en-US" w:eastAsia="zh-CN" w:bidi="ar"/>
              </w:rPr>
            </w:pPr>
            <w:r>
              <w:rPr>
                <w:rFonts w:hint="eastAsia" w:ascii="等线" w:hAnsi="等线" w:eastAsia="等线" w:cs="等线"/>
                <w:b w:val="0"/>
                <w:bCs w:val="0"/>
                <w:kern w:val="2"/>
                <w:sz w:val="18"/>
                <w:szCs w:val="18"/>
                <w:lang w:val="en-US" w:eastAsia="zh-CN" w:bidi="ar"/>
              </w:rPr>
              <w:t xml:space="preserve">推荐</w:t>
            </w:r>
          </w:p>
        </w:tc>
      </w:tr>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482" w:hRule="atLeast"/>
        </w:trPr>
        <w:tc>
          <w:tcPr>
            <w:tcW w:w="1731" w:type="dxa"/>
            <w:tcBorders>
              <w:top w:val="single" w:color="FFFFFF" w:sz="24" w:space="0"/>
              <w:left w:val="single" w:color="FFFFFF" w:sz="24" w:space="0"/>
              <w:bottom w:val="single" w:color="FFFFFF" w:sz="24" w:space="0"/>
              <w:right w:val="single" w:color="FFFFFF" w:sz="24" w:space="0"/>
            </w:tcBorders>
            <w:shd w:val="clear" w:color="auto" w:fill="E7E6E6"/>
            <w:vAlign w:val="center"/>
            <w:vMerge w:val="continue"/>
          </w:tcPr>
          <w:p>
            <w:pPr>
              <w:widowControl/>
              <w:spacing w:line="360" w:lineRule="auto"/>
              <w:jc w:val="center"/>
              <w:rPr>
                <w:rFonts w:hint="eastAsia" w:ascii="等线" w:hAnsi="等线" w:eastAsia="等线" w:cs="Arial"/>
                <w:b/>
                <w:bCs/>
                <w:color w:val="000000"/>
                <w:kern w:val="2"/>
                <w:sz w:val="18"/>
                <w:szCs w:val="18"/>
                <w:lang w:val="en-US" w:eastAsia="zh-CN" w:bidi="ar-SA"/>
              </w:rPr>
            </w:pPr>
            <w:r>
              <w:rPr>
                <w:rFonts w:hint="eastAsia" w:hAnsi="等线" w:cs="Arial"/>
                <w:b/>
                <w:bCs/>
                <w:color w:val="000000"/>
                <w:sz w:val="18"/>
                <w:szCs w:val="18"/>
                <w:lang w:bidi="ar"/>
              </w:rPr>
              <w:t xml:space="preserve"/>
            </w:r>
          </w:p>
        </w:tc>
        <w:tc>
          <w:tcPr>
            <w:tcW w:w="410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360" w:lineRule="auto"/>
              <w:jc w:val="center"/>
              <w:rPr>
                <w:rFonts w:ascii="等线" w:hAnsi="等线" w:eastAsia="等线" w:cs="Arial"/>
                <w:b/>
                <w:bCs/>
                <w:color w:val="000000"/>
                <w:kern w:val="2"/>
                <w:sz w:val="18"/>
                <w:szCs w:val="18"/>
                <w:lang w:val="en-US" w:eastAsia="zh-CN" w:bidi="ar-SA"/>
              </w:rPr>
            </w:pPr>
            <w:r>
              <w:rPr>
                <w:rFonts w:hint="eastAsia" w:ascii="等线" w:hAnsi="等线" w:eastAsia="等线" w:cs="等线"/>
                <w:b w:val="0"/>
                <w:bCs w:val="0"/>
                <w:kern w:val="2"/>
                <w:sz w:val="18"/>
                <w:szCs w:val="18"/>
                <w:lang w:val="en-US" w:eastAsia="zh-CN" w:bidi="ar"/>
              </w:rPr>
              <w:t xml:space="preserve">奥沙利铂+雷替曲塞</w:t>
            </w:r>
          </w:p>
        </w:tc>
        <w:tc>
          <w:tcPr>
            <w:tcW w:w="240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等线" w:hAnsi="等线" w:eastAsia="等线" w:cs="Arial"/>
                <w:b/>
                <w:bCs/>
                <w:color w:val="000000"/>
                <w:kern w:val="2"/>
                <w:sz w:val="18"/>
                <w:szCs w:val="18"/>
                <w:lang w:val="en-US" w:eastAsia="zh-CN" w:bidi="ar-SA"/>
              </w:rPr>
            </w:pPr>
            <w:r>
              <w:rPr>
                <w:rFonts w:hint="eastAsia" w:ascii="等线" w:hAnsi="等线" w:eastAsia="等线" w:cs="等线"/>
                <w:b w:val="0"/>
                <w:bCs w:val="0"/>
                <w:kern w:val="2"/>
                <w:sz w:val="18"/>
                <w:szCs w:val="18"/>
                <w:lang w:val="en-US" w:eastAsia="zh-CN" w:bidi="ar"/>
              </w:rPr>
              <w:t xml:space="preserve">/</w:t>
            </w:r>
          </w:p>
        </w:tc>
        <w:tc>
          <w:tcPr>
            <w:tcW w:w="1611"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default" w:ascii="等线" w:hAnsi="等线" w:eastAsia="等线" w:cs="等线"/>
                <w:kern w:val="2"/>
                <w:sz w:val="18"/>
                <w:szCs w:val="18"/>
                <w:lang w:val="en-US" w:eastAsia="zh-CN" w:bidi="ar"/>
              </w:rPr>
            </w:pPr>
            <w:r>
              <w:rPr>
                <w:rFonts w:hint="eastAsia" w:ascii="等线" w:hAnsi="等线" w:eastAsia="等线" w:cs="等线"/>
                <w:b w:val="0"/>
                <w:bCs w:val="0"/>
                <w:kern w:val="2"/>
                <w:sz w:val="18"/>
                <w:szCs w:val="18"/>
                <w:lang w:val="en-US" w:eastAsia="zh-CN" w:bidi="ar"/>
              </w:rPr>
              <w:t xml:space="preserve">可选</w:t>
            </w:r>
          </w:p>
        </w:tc>
      </w:tr>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482" w:hRule="atLeast"/>
        </w:trPr>
        <w:tc>
          <w:tcPr>
            <w:tcW w:w="1731" w:type="dxa"/>
            <w:tcBorders>
              <w:top w:val="single" w:color="FFFFFF" w:sz="24" w:space="0"/>
              <w:left w:val="single" w:color="FFFFFF" w:sz="24" w:space="0"/>
              <w:bottom w:val="single" w:color="FFFFFF" w:sz="24" w:space="0"/>
              <w:right w:val="single" w:color="FFFFFF" w:sz="24" w:space="0"/>
            </w:tcBorders>
            <w:shd w:val="clear" w:color="auto" w:fill="E7E6E6"/>
            <w:vAlign w:val="center"/>
            <w:vMerge w:val="continue"/>
          </w:tcPr>
          <w:p>
            <w:pPr>
              <w:widowControl/>
              <w:spacing w:line="360" w:lineRule="auto"/>
              <w:jc w:val="center"/>
              <w:rPr>
                <w:rFonts w:hint="eastAsia" w:ascii="等线" w:hAnsi="等线" w:eastAsia="等线" w:cs="Arial"/>
                <w:b/>
                <w:bCs/>
                <w:color w:val="000000"/>
                <w:kern w:val="2"/>
                <w:sz w:val="18"/>
                <w:szCs w:val="18"/>
                <w:lang w:val="en-US" w:eastAsia="zh-CN" w:bidi="ar-SA"/>
              </w:rPr>
            </w:pPr>
            <w:r>
              <w:rPr>
                <w:rFonts w:hint="eastAsia" w:hAnsi="等线" w:cs="Arial"/>
                <w:b/>
                <w:bCs/>
                <w:color w:val="000000"/>
                <w:sz w:val="18"/>
                <w:szCs w:val="18"/>
                <w:lang w:bidi="ar"/>
              </w:rPr>
              <w:t xml:space="preserve"/>
            </w:r>
          </w:p>
        </w:tc>
        <w:tc>
          <w:tcPr>
            <w:tcW w:w="410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360" w:lineRule="auto"/>
              <w:jc w:val="center"/>
              <w:rPr>
                <w:rFonts w:ascii="等线" w:hAnsi="等线" w:eastAsia="等线" w:cs="Arial"/>
                <w:b/>
                <w:bCs/>
                <w:color w:val="000000"/>
                <w:kern w:val="2"/>
                <w:sz w:val="18"/>
                <w:szCs w:val="18"/>
                <w:lang w:val="en-US" w:eastAsia="zh-CN" w:bidi="ar-SA"/>
              </w:rPr>
            </w:pPr>
            <w:r>
              <w:rPr>
                <w:rFonts w:hint="eastAsia" w:ascii="等线" w:hAnsi="等线" w:eastAsia="等线" w:cs="等线"/>
                <w:b w:val="0"/>
                <w:bCs w:val="0"/>
                <w:kern w:val="2"/>
                <w:sz w:val="18"/>
                <w:szCs w:val="18"/>
                <w:lang w:val="en-US" w:eastAsia="zh-CN" w:bidi="ar"/>
              </w:rPr>
              <w:t xml:space="preserve">伊立替康+雷替曲塞</w:t>
            </w:r>
          </w:p>
        </w:tc>
        <w:tc>
          <w:tcPr>
            <w:tcW w:w="240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等线" w:hAnsi="等线" w:eastAsia="等线" w:cs="Arial"/>
                <w:b/>
                <w:bCs/>
                <w:color w:val="000000"/>
                <w:kern w:val="2"/>
                <w:sz w:val="18"/>
                <w:szCs w:val="18"/>
                <w:lang w:val="en-US" w:eastAsia="zh-CN" w:bidi="ar-SA"/>
              </w:rPr>
            </w:pPr>
            <w:r>
              <w:rPr>
                <w:rFonts w:hint="eastAsia" w:ascii="等线" w:hAnsi="等线" w:eastAsia="等线" w:cs="等线"/>
                <w:b w:val="0"/>
                <w:bCs w:val="0"/>
                <w:kern w:val="2"/>
                <w:sz w:val="18"/>
                <w:szCs w:val="18"/>
                <w:lang w:val="en-US" w:eastAsia="zh-CN" w:bidi="ar"/>
              </w:rPr>
              <w:t xml:space="preserve">/</w:t>
            </w:r>
          </w:p>
        </w:tc>
        <w:tc>
          <w:tcPr>
            <w:tcW w:w="1611"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default" w:ascii="等线" w:hAnsi="等线" w:eastAsia="等线" w:cs="等线"/>
                <w:kern w:val="2"/>
                <w:sz w:val="18"/>
                <w:szCs w:val="18"/>
                <w:lang w:val="en-US" w:eastAsia="zh-CN" w:bidi="ar"/>
              </w:rPr>
            </w:pPr>
            <w:r>
              <w:rPr>
                <w:rFonts w:hint="eastAsia" w:ascii="等线" w:hAnsi="等线" w:eastAsia="等线" w:cs="等线"/>
                <w:b w:val="0"/>
                <w:bCs w:val="0"/>
                <w:kern w:val="2"/>
                <w:sz w:val="18"/>
                <w:szCs w:val="18"/>
                <w:lang w:val="en-US" w:eastAsia="zh-CN" w:bidi="ar"/>
              </w:rPr>
              <w:t xml:space="preserve">推荐</w:t>
            </w:r>
          </w:p>
        </w:tc>
      </w:tr>
    </w:tbl>
    <w:p>
      <w:pPr>
        <w:rPr>
          <w:rFonts w:hint="eastAsia"/>
        </w:rPr>
      </w:pPr>
      <w:r>
        <w:rPr>
          <w:rFonts w:hint="eastAsia" w:hAnsi="等线"/>
          <w:b/>
          <w:bCs/>
          <w:szCs w:val="21"/>
        </w:rPr>
        <w:t>说明：</w:t>
      </w:r>
      <w:r>
        <w:rPr>
          <w:rFonts w:hint="eastAsia" w:hAnsi="等线"/>
          <w:sz w:val="18"/>
          <w:szCs w:val="18"/>
        </w:rPr>
        <w:t>上述</w:t>
      </w:r>
      <w:r>
        <w:rPr>
          <w:rFonts w:hint="eastAsia" w:hAnsi="等线"/>
          <w:sz w:val="18"/>
          <w:szCs w:val="18"/>
          <w:lang w:val="en-US" w:eastAsia="zh-CN"/>
        </w:rPr>
        <w:t>化疗方案</w:t>
      </w:r>
      <w:r>
        <w:rPr>
          <w:rFonts w:hint="eastAsia" w:hAnsi="等线"/>
          <w:sz w:val="18"/>
          <w:szCs w:val="18"/>
        </w:rPr>
        <w:t>来源于中国临床肿瘤学会（CSCO）</w:t>
      </w:r>
      <w:r>
        <w:rPr>
          <w:rFonts w:hint="eastAsia" w:hAnsi="等线"/>
          <w:sz w:val="18"/>
          <w:szCs w:val="18"/>
          <w:lang w:val="en-US" w:eastAsia="zh-CN"/>
        </w:rPr>
        <w:t>结直肠</w:t>
      </w:r>
      <w:r>
        <w:rPr>
          <w:rFonts w:hint="eastAsia" w:hAnsi="等线"/>
          <w:sz w:val="18"/>
          <w:szCs w:val="18"/>
        </w:rPr>
        <w:t>癌诊疗指南202</w:t>
      </w:r>
      <w:r>
        <w:rPr>
          <w:rFonts w:hint="eastAsia" w:hAnsi="等线"/>
          <w:sz w:val="18"/>
          <w:szCs w:val="18"/>
          <w:lang w:val="en-US" w:eastAsia="zh-CN"/>
        </w:rPr>
        <w:t>3</w:t>
      </w:r>
      <w:r>
        <w:rPr>
          <w:rFonts w:hint="eastAsia" w:hAnsi="等线"/>
          <w:sz w:val="18"/>
          <w:szCs w:val="18"/>
        </w:rPr>
        <w:t>。</w:t>
      </w:r>
      <w:r>
        <w:rPr>
          <w:rFonts w:hint="eastAsia" w:hAnsi="等线"/>
          <w:sz w:val="18"/>
          <w:szCs w:val="18"/>
        </w:rPr>
        <w:br w:type="textWrapping"/>
      </w:r>
    </w:p>
    <w:p>
      <w:pPr>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auto"/>
        <w:outlineLvl w:val="1"/>
        <w:rPr>
          <w:rFonts w:hint="default" w:hAnsi="等线"/>
          <w:sz w:val="18"/>
          <w:szCs w:val="18"/>
          <w:lang w:val="en-US"/>
        </w:rPr>
      </w:pPr>
      <w:bookmarkStart w:id="28" w:name="遗传性结直肠癌小结"/>
      <w:bookmarkEnd w:id="28"/>
      <w:r>
        <w:rPr>
          <w:rFonts w:hint="eastAsia" w:hAnsi="等线" w:cs="Arial"/>
          <w:b/>
          <w:bCs/>
          <w:color w:val="00B0F0"/>
          <w:sz w:val="28"/>
          <w:szCs w:val="28"/>
        </w:rPr>
        <w:drawing>
          <wp:anchor distT="0" distB="0" distL="114300" distR="114300" simplePos="0" relativeHeight="251711488" behindDoc="0" locked="0" layoutInCell="1" allowOverlap="1">
            <wp:simplePos x="0" y="0"/>
            <wp:positionH relativeFrom="column">
              <wp:posOffset>90170</wp:posOffset>
            </wp:positionH>
            <wp:positionV relativeFrom="paragraph">
              <wp:posOffset>55880</wp:posOffset>
            </wp:positionV>
            <wp:extent cx="272415" cy="277495"/>
            <wp:effectExtent l="0" t="0" r="1905" b="12065"/>
            <wp:wrapNone/>
            <wp:docPr id="1015" name="图片 10" descr="资源 1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资源 1229"/>
                    <pic:cNvPicPr>
                      <a:picLocks noChangeAspect="1"/>
                    </pic:cNvPicPr>
                  </pic:nvPicPr>
                  <pic:blipFill>
                    <a:blip r:embed="rId12"/>
                    <a:stretch>
                      <a:fillRect/>
                    </a:stretch>
                  </pic:blipFill>
                  <pic:spPr>
                    <a:xfrm>
                      <a:off x="0" y="0"/>
                      <a:ext cx="272415" cy="277495"/>
                    </a:xfrm>
                    <a:prstGeom prst="rect">
                      <a:avLst/>
                    </a:prstGeom>
                  </pic:spPr>
                </pic:pic>
              </a:graphicData>
            </a:graphic>
          </wp:anchor>
        </w:drawing>
      </w:r>
      <w:r>
        <w:rPr>
          <w:rFonts w:hint="eastAsia" w:hAnsi="等线" w:cs="Arial"/>
          <w:b/>
          <w:bCs/>
          <w:color w:val="00B0F0"/>
          <w:sz w:val="28"/>
          <w:szCs w:val="28"/>
          <w:lang w:val="en-US" w:eastAsia="zh-CN"/>
        </w:rPr>
        <w:t xml:space="preserve">     遗传性结直肠癌基因检测结果</w:t>
      </w:r>
    </w:p>
    <w:tbl>
      <w:tblPr>
        <w:tblStyle w:val="58"/>
        <w:tblW w:w="5000" w:type="pct"/>
        <w:tblInd w:w="0" w:type="dxa"/>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Layout w:type="fixed"/>
        <w:tblCellMar>
          <w:top w:w="0" w:type="dxa"/>
          <w:left w:w="108" w:type="dxa"/>
          <w:bottom w:w="0" w:type="dxa"/>
          <w:right w:w="108" w:type="dxa"/>
        </w:tblCellMar>
      </w:tblPr>
      <w:tblGrid>
        <w:gridCol w:w="2461"/>
        <w:gridCol w:w="7394"/>
      </w:tblGrid>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cantSplit/>
          <w:trHeight w:val="567" w:hRule="atLeast"/>
        </w:trPr>
        <w:tc>
          <w:tcPr>
            <w:tcW w:w="9629" w:type="dxa"/>
            <w:gridSpan w:val="2"/>
            <w:tcBorders>
              <w:top w:val="single" w:color="3FC0C1" w:sz="4" w:space="0"/>
              <w:left w:val="single" w:color="3FC0C1" w:sz="4" w:space="0"/>
              <w:bottom w:val="single" w:color="FFFFFF" w:sz="24" w:space="0"/>
              <w:right w:val="single" w:color="3FC0C1" w:sz="4" w:space="0"/>
              <w:insideV w:val="nil"/>
            </w:tcBorders>
            <w:shd w:val="clear" w:color="auto" w:fill="3FC0C1"/>
            <w:vAlign w:val="center"/>
          </w:tcPr>
          <w:p>
            <w:pPr>
              <w:snapToGrid w:val="0"/>
              <w:jc w:val="center"/>
              <w:rPr>
                <w:rFonts w:hAnsi="等线"/>
                <w:b/>
                <w:bCs w:val="0"/>
                <w:color w:val="000000"/>
                <w:szCs w:val="21"/>
              </w:rPr>
            </w:pPr>
            <w:bookmarkStart w:id="29" w:name="小结5"/>
            <w:r>
              <w:rPr>
                <w:rFonts w:hint="eastAsia" w:hAnsi="等线"/>
                <w:b/>
                <w:bCs/>
                <w:color w:val="FFFFFF"/>
                <w:sz w:val="24"/>
                <w:szCs w:val="24"/>
              </w:rPr>
              <w:t>遗传性</w:t>
            </w:r>
            <w:r>
              <w:rPr>
                <w:rFonts w:hint="eastAsia" w:hAnsi="等线"/>
                <w:b/>
                <w:bCs/>
                <w:color w:val="FFFFFF"/>
                <w:sz w:val="24"/>
                <w:szCs w:val="24"/>
                <w:lang w:val="en-US" w:eastAsia="zh-CN"/>
              </w:rPr>
              <w:t>结直肠癌</w:t>
            </w:r>
            <w:r>
              <w:rPr>
                <w:rFonts w:hint="eastAsia" w:hAnsi="等线"/>
                <w:b/>
                <w:bCs/>
                <w:color w:val="FFFFFF"/>
                <w:sz w:val="24"/>
                <w:szCs w:val="24"/>
              </w:rPr>
              <w:t>基因检测结果</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cantSplit/>
          <w:trHeight w:val="680" w:hRule="atLeast"/>
        </w:trPr>
        <w:tc>
          <w:tcPr>
            <w:tcW w:w="2405" w:type="dxa"/>
            <w:tcBorders>
              <w:top w:val="single" w:color="FFFFFF" w:sz="24" w:space="0"/>
              <w:left w:val="single" w:color="FFFFFF" w:sz="24" w:space="0"/>
              <w:bottom w:val="single" w:color="FFFFFF" w:sz="24" w:space="0"/>
              <w:right w:val="single" w:color="FFFFFF" w:sz="24" w:space="0"/>
            </w:tcBorders>
            <w:shd w:val="clear" w:color="auto" w:fill="E7E6E6" w:themeFill="background2"/>
            <w:vAlign w:val="center"/>
          </w:tcPr>
          <w:p>
            <w:pPr>
              <w:snapToGrid w:val="0"/>
              <w:jc w:val="center"/>
              <w:rPr>
                <w:rFonts w:hAnsi="等线"/>
                <w:b/>
                <w:bCs/>
                <w:szCs w:val="21"/>
              </w:rPr>
            </w:pPr>
            <w:r>
              <w:rPr>
                <w:rFonts w:hint="eastAsia" w:hAnsi="等线"/>
                <w:b w:val="0"/>
                <w:bCs w:val="0"/>
                <w:szCs w:val="21"/>
              </w:rPr>
              <w:t>结果统计</w:t>
            </w:r>
          </w:p>
        </w:tc>
        <w:tc>
          <w:tcPr>
            <w:tcW w:w="722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sz w:val="24"/>
                <w:szCs w:val="24"/>
                <w:lang w:eastAsia="zh-CN"/>
              </w:rPr>
            </w:pPr>
            <w:r>
              <w:rPr>
                <w:rFonts w:hint="eastAsia" w:hAnsi="等线"/>
                <w:szCs w:val="21"/>
              </w:rPr>
              <w:t xml:space="preserve">TP53 p.V73Rfs*76</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cantSplit/>
          <w:trHeight w:val="680" w:hRule="atLeast"/>
        </w:trPr>
        <w:tc>
          <w:tcPr>
            <w:tcW w:w="2405" w:type="dxa"/>
            <w:tcBorders>
              <w:top w:val="single" w:color="FFFFFF" w:sz="24" w:space="0"/>
              <w:left w:val="single" w:color="FFFFFF" w:sz="24" w:space="0"/>
              <w:bottom w:val="single" w:color="FFFFFF" w:sz="24" w:space="0"/>
              <w:right w:val="single" w:color="FFFFFF" w:sz="24" w:space="0"/>
            </w:tcBorders>
            <w:shd w:val="clear" w:color="auto" w:fill="E7E6E6" w:themeFill="background2"/>
            <w:vAlign w:val="center"/>
          </w:tcPr>
          <w:p>
            <w:pPr>
              <w:snapToGrid w:val="0"/>
              <w:jc w:val="center"/>
              <w:rPr>
                <w:rFonts w:hAnsi="等线"/>
                <w:b/>
                <w:bCs/>
                <w:szCs w:val="21"/>
              </w:rPr>
            </w:pPr>
            <w:r>
              <w:rPr>
                <w:rFonts w:hint="eastAsia" w:hAnsi="等线"/>
                <w:b w:val="0"/>
                <w:bCs w:val="0"/>
                <w:szCs w:val="21"/>
              </w:rPr>
              <w:t>相关遗传性肿瘤综合征</w:t>
            </w:r>
          </w:p>
        </w:tc>
        <w:tc>
          <w:tcPr>
            <w:tcW w:w="722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szCs w:val="21"/>
                <w:lang w:eastAsia="zh-CN"/>
              </w:rPr>
            </w:pPr>
            <w:r>
              <w:rPr>
                <w:rFonts w:hint="eastAsia" w:hAnsi="等线"/>
                <w:szCs w:val="21"/>
              </w:rPr>
              <w:t xml:space="preserve">Li-Fraumeni综合征</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cantSplit/>
          <w:trHeight w:val="680" w:hRule="atLeast"/>
        </w:trPr>
        <w:tc>
          <w:tcPr>
            <w:tcW w:w="2405" w:type="dxa"/>
            <w:tcBorders>
              <w:top w:val="single" w:color="FFFFFF" w:sz="24" w:space="0"/>
              <w:left w:val="single" w:color="FFFFFF" w:sz="24" w:space="0"/>
              <w:bottom w:val="single" w:color="FFFFFF" w:sz="24" w:space="0"/>
              <w:right w:val="single" w:color="FFFFFF" w:sz="24" w:space="0"/>
            </w:tcBorders>
            <w:shd w:val="clear" w:color="auto" w:fill="E7E6E6" w:themeFill="background2"/>
            <w:vAlign w:val="center"/>
          </w:tcPr>
          <w:p>
            <w:pPr>
              <w:snapToGrid w:val="0"/>
              <w:jc w:val="center"/>
              <w:rPr>
                <w:rFonts w:hAnsi="等线"/>
                <w:b/>
                <w:bCs/>
                <w:szCs w:val="21"/>
              </w:rPr>
            </w:pPr>
            <w:r>
              <w:rPr>
                <w:rFonts w:hint="eastAsia" w:hAnsi="等线"/>
                <w:b w:val="0"/>
                <w:bCs w:val="0"/>
                <w:szCs w:val="21"/>
                <w:lang w:val="en-US" w:eastAsia="zh-CN"/>
              </w:rPr>
              <w:t>相关癌症</w:t>
            </w:r>
            <w:r>
              <w:rPr>
                <w:rFonts w:hint="eastAsia" w:hAnsi="等线"/>
                <w:b w:val="0"/>
                <w:bCs w:val="0"/>
                <w:szCs w:val="21"/>
              </w:rPr>
              <w:t>发生风险</w:t>
            </w:r>
          </w:p>
        </w:tc>
        <w:tc>
          <w:tcPr>
            <w:tcW w:w="722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szCs w:val="21"/>
                <w:lang w:eastAsia="zh-CN"/>
              </w:rPr>
            </w:pPr>
            <w:r>
              <w:rPr>
                <w:rFonts w:hint="eastAsia" w:hAnsi="等线"/>
                <w:szCs w:val="21"/>
              </w:rPr>
              <w:t xml:space="preserve">结直肠癌,胰腺癌,甲状腺癌,胃癌,肾上腺皮质癌,乳腺癌,胶质母细胞瘤,星形细胞瘤,骨肉瘤,软组织肉瘤,急性淋巴细胞白血病,急性髓性白血病,骨髓增生异常综合征,淋巴瘤,头颈鳞癌,肾细胞癌,喉癌,肺癌,皮肤癌,卵巢癌,前列腺癌,睾丸癌,妊娠期绒毛膜癌</w:t>
            </w:r>
          </w:p>
        </w:tc>
      </w:tr>
      <w:bookmarkEnd w:id="29"/>
    </w:tbl>
    <w:p>
      <w:pPr>
        <w:rPr>
          <w:rFonts w:hint="eastAsia" w:hAnsi="等线"/>
          <w:sz w:val="18"/>
          <w:szCs w:val="18"/>
        </w:rPr>
      </w:pPr>
      <w:r>
        <w:rPr>
          <w:rFonts w:hint="eastAsia" w:hAnsi="等线"/>
          <w:sz w:val="18"/>
          <w:szCs w:val="18"/>
        </w:rPr>
        <w:br w:type="page"/>
      </w:r>
    </w:p>
    <w:p>
      <w:pPr>
        <w:outlineLvl w:val="1"/>
        <w:rPr>
          <w:rFonts w:hAnsi="等线" w:cs="Arial"/>
          <w:b/>
          <w:bCs/>
          <w:color w:val="00B0F0"/>
          <w:sz w:val="28"/>
          <w:szCs w:val="28"/>
        </w:rPr>
      </w:pPr>
      <w:r>
        <w:rPr>
          <w:rFonts w:hint="eastAsia" w:hAnsi="等线" w:cs="Arial"/>
          <w:b/>
          <w:bCs/>
          <w:color w:val="00B0F0"/>
          <w:sz w:val="28"/>
          <w:szCs w:val="28"/>
        </w:rPr>
        <w:drawing>
          <wp:anchor distT="0" distB="0" distL="114300" distR="114300" simplePos="0" relativeHeight="251693056" behindDoc="0" locked="0" layoutInCell="1" allowOverlap="1">
            <wp:simplePos x="0" y="0"/>
            <wp:positionH relativeFrom="column">
              <wp:posOffset>92710</wp:posOffset>
            </wp:positionH>
            <wp:positionV relativeFrom="paragraph">
              <wp:posOffset>63500</wp:posOffset>
            </wp:positionV>
            <wp:extent cx="272415" cy="277495"/>
            <wp:effectExtent l="0" t="0" r="1905" b="12065"/>
            <wp:wrapNone/>
            <wp:docPr id="1016" name="图片 28" descr="资源 1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资源 1229"/>
                    <pic:cNvPicPr>
                      <a:picLocks noChangeAspect="1"/>
                    </pic:cNvPicPr>
                  </pic:nvPicPr>
                  <pic:blipFill>
                    <a:blip r:embed="rId12"/>
                    <a:stretch>
                      <a:fillRect/>
                    </a:stretch>
                  </pic:blipFill>
                  <pic:spPr>
                    <a:xfrm>
                      <a:off x="0" y="0"/>
                      <a:ext cx="272415" cy="277495"/>
                    </a:xfrm>
                    <a:prstGeom prst="rect">
                      <a:avLst/>
                    </a:prstGeom>
                  </pic:spPr>
                </pic:pic>
              </a:graphicData>
            </a:graphic>
          </wp:anchor>
        </w:drawing>
      </w:r>
      <w:r>
        <w:rPr>
          <w:rFonts w:hAnsi="等线" w:cs="Arial"/>
          <w:b/>
          <w:bCs/>
          <w:color w:val="00B0F0"/>
          <w:sz w:val="28"/>
          <w:szCs w:val="28"/>
        </w:rPr>
        <w:t xml:space="preserve"> </w:t>
      </w:r>
      <w:r>
        <w:rPr>
          <w:rFonts w:hint="eastAsia" w:hAnsi="等线" w:cs="Arial"/>
          <w:b/>
          <w:bCs/>
          <w:color w:val="00B0F0"/>
          <w:sz w:val="28"/>
          <w:szCs w:val="28"/>
        </w:rPr>
        <w:t xml:space="preserve">    </w:t>
      </w:r>
      <w:bookmarkStart w:id="30" w:name="本癌种FDA获批"/>
      <w:bookmarkEnd w:id="30"/>
      <w:r>
        <w:rPr>
          <w:rFonts w:hAnsi="等线" w:cs="Arial"/>
          <w:b/>
          <w:bCs/>
          <w:color w:val="00B0F0"/>
          <w:sz w:val="28"/>
          <w:szCs w:val="28"/>
        </w:rPr>
        <w:t>FDA/NMPA获批</w:t>
      </w:r>
      <w:r>
        <w:rPr>
          <w:rFonts w:hint="eastAsia" w:hAnsi="等线" w:cs="Arial"/>
          <w:b/>
          <w:bCs/>
          <w:color w:val="00B0F0"/>
          <w:sz w:val="28"/>
          <w:szCs w:val="28"/>
        </w:rPr>
        <w:t>或</w:t>
      </w:r>
      <w:r>
        <w:rPr>
          <w:rFonts w:hAnsi="等线" w:cs="Arial"/>
          <w:b/>
          <w:bCs/>
          <w:color w:val="00B0F0"/>
          <w:sz w:val="28"/>
          <w:szCs w:val="28"/>
        </w:rPr>
        <w:t>NCCN指南推荐的</w:t>
      </w:r>
      <w:r>
        <w:rPr>
          <w:rFonts w:hint="eastAsia" w:hAnsi="等线" w:cs="Arial"/>
          <w:b/>
          <w:bCs/>
          <w:color w:val="00B0F0"/>
          <w:sz w:val="28"/>
          <w:szCs w:val="28"/>
          <w:lang w:val="en-US" w:eastAsia="zh-CN"/>
        </w:rPr>
        <w:t>结直肠癌靶药</w:t>
      </w:r>
      <w:r>
        <w:rPr>
          <w:rFonts w:hAnsi="等线" w:cs="Arial"/>
          <w:b/>
          <w:bCs/>
          <w:color w:val="00B0F0"/>
          <w:sz w:val="28"/>
          <w:szCs w:val="28"/>
        </w:rPr>
        <w:t>基因检出情况</w:t>
      </w:r>
      <w:bookmarkEnd w:id="25"/>
      <w:bookmarkEnd w:id="26"/>
    </w:p>
    <w:tbl>
      <w:tblPr>
        <w:tblStyle w:val="58"/>
        <w:tblW w:w="5000" w:type="pct"/>
        <w:tblInd w:w="-23" w:type="dxa"/>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Layout w:type="fixed"/>
        <w:tblCellMar>
          <w:top w:w="0" w:type="dxa"/>
          <w:left w:w="108" w:type="dxa"/>
          <w:bottom w:w="0" w:type="dxa"/>
          <w:right w:w="108" w:type="dxa"/>
        </w:tblCellMar>
      </w:tblPr>
      <w:tblGrid>
        <w:gridCol w:w="3287"/>
        <w:gridCol w:w="3259"/>
        <w:gridCol w:w="3309"/>
      </w:tblGrid>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cantSplit/>
          <w:trHeight w:val="567" w:hRule="atLeast"/>
        </w:trPr>
        <w:tc>
          <w:tcPr>
            <w:tcW w:w="9855" w:type="dxa"/>
            <w:gridSpan w:val="3"/>
            <w:tcBorders>
              <w:top w:val="nil"/>
              <w:left w:val="nil"/>
              <w:bottom w:val="single" w:color="FFFFFF" w:sz="24" w:space="0"/>
              <w:right w:val="nil"/>
              <w:insideV w:val="nil"/>
            </w:tcBorders>
            <w:shd w:val="clear" w:color="auto" w:fill="00B0F0"/>
            <w:vAlign w:val="center"/>
          </w:tcPr>
          <w:p>
            <w:pPr>
              <w:snapToGrid w:val="0"/>
              <w:jc w:val="center"/>
              <w:rPr>
                <w:rFonts w:hAnsi="等线"/>
                <w:b/>
                <w:bCs w:val="0"/>
                <w:color w:val="FFFFFF"/>
                <w:szCs w:val="21"/>
              </w:rPr>
            </w:pPr>
            <w:r>
              <w:rPr>
                <w:rFonts w:hAnsi="等线" w:cs="Arial"/>
                <w:b/>
                <w:bCs/>
                <w:color w:val="FFFFFF"/>
                <w:sz w:val="28"/>
                <w:szCs w:val="28"/>
              </w:rPr>
              <w:t>FDA/NMPA获批</w:t>
            </w:r>
            <w:r>
              <w:rPr>
                <w:rFonts w:hint="eastAsia" w:hAnsi="等线" w:cs="Arial"/>
                <w:b/>
                <w:bCs/>
                <w:color w:val="FFFFFF"/>
                <w:sz w:val="28"/>
                <w:szCs w:val="28"/>
              </w:rPr>
              <w:t>或</w:t>
            </w:r>
            <w:r>
              <w:rPr>
                <w:rFonts w:hAnsi="等线" w:cs="Arial"/>
                <w:b/>
                <w:bCs/>
                <w:color w:val="FFFFFF"/>
                <w:sz w:val="28"/>
                <w:szCs w:val="28"/>
              </w:rPr>
              <w:t>NCCN指南推荐的</w:t>
            </w:r>
            <w:r>
              <w:rPr>
                <w:rFonts w:hint="eastAsia" w:hAnsi="等线" w:cs="Arial"/>
                <w:b/>
                <w:bCs/>
                <w:color w:val="FFFFFF"/>
                <w:sz w:val="28"/>
                <w:szCs w:val="28"/>
                <w:lang w:val="en-US" w:eastAsia="zh-CN"/>
              </w:rPr>
              <w:t>结直肠</w:t>
            </w:r>
            <w:r>
              <w:rPr>
                <w:rFonts w:hint="eastAsia" w:hAnsi="等线" w:cs="Arial"/>
                <w:b/>
                <w:bCs/>
                <w:color w:val="FFFFFF"/>
                <w:sz w:val="28"/>
                <w:szCs w:val="28"/>
              </w:rPr>
              <w:t>癌</w:t>
            </w:r>
            <w:r>
              <w:rPr>
                <w:rFonts w:hAnsi="等线" w:cs="Arial"/>
                <w:b/>
                <w:bCs/>
                <w:color w:val="FFFFFF"/>
                <w:sz w:val="28"/>
                <w:szCs w:val="28"/>
              </w:rPr>
              <w:t>靶药基因检出情况</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3287" w:type="dxa"/>
            <w:tcBorders>
              <w:top w:val="single" w:color="FFFFFF" w:sz="24" w:space="0"/>
              <w:left w:val="single" w:color="FFFFFF" w:sz="24" w:space="0"/>
              <w:bottom w:val="single" w:color="FFFFFF" w:sz="24" w:space="0"/>
              <w:right w:val="single" w:color="FFFFFF" w:sz="24" w:space="0"/>
            </w:tcBorders>
            <w:shd w:val="clear" w:color="auto" w:fill="00B0F0"/>
            <w:vAlign w:val="center"/>
          </w:tcPr>
          <w:p>
            <w:pPr>
              <w:snapToGrid w:val="0"/>
              <w:jc w:val="center"/>
              <w:rPr>
                <w:rFonts w:hAnsi="等线"/>
                <w:b/>
                <w:bCs/>
                <w:color w:val="FFFFFF"/>
                <w:sz w:val="24"/>
                <w:szCs w:val="24"/>
              </w:rPr>
            </w:pPr>
            <w:r>
              <w:rPr>
                <w:rFonts w:hint="eastAsia" w:hAnsi="等线"/>
                <w:b/>
                <w:bCs/>
                <w:color w:val="FFFFFF"/>
                <w:sz w:val="24"/>
                <w:szCs w:val="24"/>
              </w:rPr>
              <w:t>基因</w:t>
            </w:r>
          </w:p>
        </w:tc>
        <w:tc>
          <w:tcPr>
            <w:tcW w:w="3259" w:type="dxa"/>
            <w:tcBorders>
              <w:top w:val="single" w:color="FFFFFF" w:sz="24" w:space="0"/>
              <w:left w:val="single" w:color="FFFFFF" w:sz="24" w:space="0"/>
              <w:bottom w:val="single" w:color="FFFFFF" w:sz="24" w:space="0"/>
              <w:right w:val="single" w:color="FFFFFF" w:sz="24" w:space="0"/>
            </w:tcBorders>
            <w:shd w:val="clear" w:color="auto" w:fill="00B0F0"/>
            <w:vAlign w:val="center"/>
          </w:tcPr>
          <w:p>
            <w:pPr>
              <w:snapToGrid w:val="0"/>
              <w:jc w:val="center"/>
              <w:rPr>
                <w:rFonts w:hAnsi="等线"/>
                <w:b/>
                <w:bCs/>
                <w:color w:val="FFFFFF"/>
                <w:sz w:val="24"/>
                <w:szCs w:val="24"/>
              </w:rPr>
            </w:pPr>
            <w:r>
              <w:rPr>
                <w:rFonts w:hint="eastAsia" w:hAnsi="等线"/>
                <w:b/>
                <w:bCs/>
                <w:color w:val="FFFFFF"/>
                <w:sz w:val="24"/>
                <w:szCs w:val="24"/>
              </w:rPr>
              <w:t>检测内容</w:t>
            </w:r>
          </w:p>
        </w:tc>
        <w:tc>
          <w:tcPr>
            <w:tcW w:w="3309" w:type="dxa"/>
            <w:tcBorders>
              <w:top w:val="single" w:color="FFFFFF" w:sz="24" w:space="0"/>
              <w:left w:val="single" w:color="FFFFFF" w:sz="24" w:space="0"/>
              <w:bottom w:val="single" w:color="FFFFFF" w:sz="24" w:space="0"/>
              <w:right w:val="single" w:color="FFFFFF" w:sz="24" w:space="0"/>
            </w:tcBorders>
            <w:shd w:val="clear" w:color="auto" w:fill="00B0F0"/>
            <w:vAlign w:val="center"/>
          </w:tcPr>
          <w:p>
            <w:pPr>
              <w:snapToGrid w:val="0"/>
              <w:jc w:val="center"/>
              <w:rPr>
                <w:rFonts w:hAnsi="等线"/>
                <w:b/>
                <w:bCs/>
                <w:color w:val="FFFFFF"/>
                <w:sz w:val="24"/>
                <w:szCs w:val="24"/>
              </w:rPr>
            </w:pPr>
            <w:r>
              <w:rPr>
                <w:rFonts w:hint="eastAsia" w:hAnsi="等线"/>
                <w:b/>
                <w:bCs/>
                <w:color w:val="FFFFFF"/>
                <w:sz w:val="24"/>
                <w:szCs w:val="24"/>
              </w:rPr>
              <w:t>检测结果</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3287"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华文细黑" w:hAnsi="华文细黑" w:eastAsia="等线" w:cs="华文细黑"/>
                <w:b w:val="0"/>
                <w:bCs w:val="0"/>
                <w:color w:val="000000"/>
                <w:kern w:val="0"/>
                <w:szCs w:val="21"/>
                <w:lang w:eastAsia="zh-CN" w:bidi="ar"/>
              </w:rPr>
            </w:pPr>
            <w:r>
              <w:rPr>
                <w:rFonts w:hint="eastAsia"/>
                <w:b/>
                <w:bCs/>
                <w:szCs w:val="21"/>
                <w:lang w:bidi="ar"/>
              </w:rPr>
              <w:t xml:space="preserve">BRAF</w:t>
            </w:r>
          </w:p>
        </w:tc>
        <w:tc>
          <w:tcPr>
            <w:tcW w:w="325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华文细黑" w:hAnsi="华文细黑" w:eastAsia="等线" w:cs="华文细黑"/>
                <w:b/>
                <w:color w:val="000000"/>
                <w:kern w:val="0"/>
                <w:szCs w:val="21"/>
                <w:lang w:eastAsia="zh-CN" w:bidi="ar"/>
              </w:rPr>
            </w:pPr>
            <w:r>
              <w:rPr>
                <w:rFonts w:hint="eastAsia"/>
                <w:szCs w:val="21"/>
                <w:lang w:bidi="ar"/>
              </w:rPr>
              <w:t xml:space="preserve">突变</w:t>
            </w:r>
          </w:p>
        </w:tc>
        <w:tc>
          <w:tcPr>
            <w:tcW w:w="330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华文细黑" w:hAnsi="华文细黑" w:eastAsia="等线" w:cs="华文细黑"/>
                <w:b/>
                <w:color w:val="000000"/>
                <w:kern w:val="0"/>
                <w:szCs w:val="21"/>
                <w:lang w:eastAsia="zh-CN" w:bidi="ar"/>
              </w:rPr>
            </w:pPr>
            <w:r>
              <w:rPr>
                <w:rFonts w:hint="eastAsia"/>
                <w:szCs w:val="21"/>
                <w:lang w:bidi="ar"/>
              </w:rPr>
              <w:t xml:space="preserve">未检出变异</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3287"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华文细黑" w:hAnsi="华文细黑" w:eastAsia="等线" w:cs="华文细黑"/>
                <w:b w:val="0"/>
                <w:bCs w:val="0"/>
                <w:color w:val="000000"/>
                <w:kern w:val="0"/>
                <w:szCs w:val="21"/>
                <w:lang w:eastAsia="zh-CN" w:bidi="ar"/>
              </w:rPr>
            </w:pPr>
            <w:r>
              <w:rPr>
                <w:rFonts w:hint="eastAsia"/>
                <w:b/>
                <w:bCs/>
                <w:szCs w:val="21"/>
                <w:lang w:bidi="ar"/>
              </w:rPr>
              <w:t xml:space="preserve">ERBB2</w:t>
            </w:r>
          </w:p>
        </w:tc>
        <w:tc>
          <w:tcPr>
            <w:tcW w:w="325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华文细黑" w:hAnsi="华文细黑" w:eastAsia="等线" w:cs="华文细黑"/>
                <w:b/>
                <w:color w:val="000000"/>
                <w:kern w:val="0"/>
                <w:szCs w:val="21"/>
                <w:lang w:eastAsia="zh-CN" w:bidi="ar"/>
              </w:rPr>
            </w:pPr>
            <w:r>
              <w:rPr>
                <w:rFonts w:hint="eastAsia"/>
                <w:szCs w:val="21"/>
                <w:lang w:bidi="ar"/>
              </w:rPr>
              <w:t xml:space="preserve">扩增</w:t>
            </w:r>
          </w:p>
        </w:tc>
        <w:tc>
          <w:tcPr>
            <w:tcW w:w="330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华文细黑" w:hAnsi="华文细黑" w:eastAsia="等线" w:cs="华文细黑"/>
                <w:b/>
                <w:color w:val="000000"/>
                <w:kern w:val="0"/>
                <w:szCs w:val="21"/>
                <w:lang w:eastAsia="zh-CN" w:bidi="ar"/>
              </w:rPr>
            </w:pPr>
            <w:r>
              <w:rPr>
                <w:rFonts w:hint="eastAsia"/>
                <w:szCs w:val="21"/>
                <w:lang w:bidi="ar"/>
              </w:rPr>
              <w:t xml:space="preserve">未检出变异</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3287"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华文细黑" w:hAnsi="华文细黑" w:eastAsia="等线" w:cs="华文细黑"/>
                <w:b w:val="0"/>
                <w:bCs w:val="0"/>
                <w:color w:val="000000"/>
                <w:kern w:val="0"/>
                <w:szCs w:val="21"/>
                <w:lang w:eastAsia="zh-CN" w:bidi="ar"/>
              </w:rPr>
            </w:pPr>
            <w:r>
              <w:rPr>
                <w:rFonts w:hint="eastAsia"/>
                <w:b/>
                <w:bCs/>
                <w:szCs w:val="21"/>
                <w:lang w:bidi="ar"/>
              </w:rPr>
              <w:t xml:space="preserve">KRAS</w:t>
            </w:r>
          </w:p>
        </w:tc>
        <w:tc>
          <w:tcPr>
            <w:tcW w:w="325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华文细黑" w:hAnsi="华文细黑" w:eastAsia="等线" w:cs="华文细黑"/>
                <w:b/>
                <w:color w:val="000000"/>
                <w:kern w:val="0"/>
                <w:szCs w:val="21"/>
                <w:lang w:eastAsia="zh-CN" w:bidi="ar"/>
              </w:rPr>
            </w:pPr>
            <w:r>
              <w:rPr>
                <w:rFonts w:hint="eastAsia"/>
                <w:szCs w:val="21"/>
                <w:lang w:bidi="ar"/>
              </w:rPr>
              <w:t xml:space="preserve">突变</w:t>
            </w:r>
          </w:p>
        </w:tc>
        <w:tc>
          <w:tcPr>
            <w:tcW w:w="330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华文细黑" w:hAnsi="华文细黑" w:eastAsia="等线" w:cs="华文细黑"/>
                <w:b/>
                <w:color w:val="000000"/>
                <w:kern w:val="0"/>
                <w:szCs w:val="21"/>
                <w:lang w:eastAsia="zh-CN" w:bidi="ar"/>
              </w:rPr>
            </w:pPr>
            <w:r>
              <w:rPr>
                <w:rFonts w:hint="eastAsia"/>
                <w:szCs w:val="21"/>
                <w:lang w:bidi="ar"/>
              </w:rPr>
              <w:t xml:space="preserve">未检出变异</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3287"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华文细黑" w:hAnsi="华文细黑" w:eastAsia="等线" w:cs="华文细黑"/>
                <w:b w:val="0"/>
                <w:bCs w:val="0"/>
                <w:color w:val="000000"/>
                <w:kern w:val="0"/>
                <w:szCs w:val="21"/>
                <w:lang w:eastAsia="zh-CN" w:bidi="ar"/>
              </w:rPr>
            </w:pPr>
            <w:r>
              <w:rPr>
                <w:rFonts w:hint="eastAsia"/>
                <w:b/>
                <w:bCs/>
                <w:szCs w:val="21"/>
                <w:lang w:bidi="ar"/>
              </w:rPr>
              <w:t xml:space="preserve">NRAS</w:t>
            </w:r>
          </w:p>
        </w:tc>
        <w:tc>
          <w:tcPr>
            <w:tcW w:w="325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华文细黑" w:hAnsi="华文细黑" w:eastAsia="等线" w:cs="华文细黑"/>
                <w:b/>
                <w:color w:val="000000"/>
                <w:kern w:val="0"/>
                <w:szCs w:val="21"/>
                <w:lang w:eastAsia="zh-CN" w:bidi="ar"/>
              </w:rPr>
            </w:pPr>
            <w:r>
              <w:rPr>
                <w:rFonts w:hint="eastAsia"/>
                <w:szCs w:val="21"/>
                <w:lang w:bidi="ar"/>
              </w:rPr>
              <w:t xml:space="preserve">突变</w:t>
            </w:r>
          </w:p>
        </w:tc>
        <w:tc>
          <w:tcPr>
            <w:tcW w:w="330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华文细黑" w:hAnsi="华文细黑" w:eastAsia="等线" w:cs="华文细黑"/>
                <w:b/>
                <w:color w:val="000000"/>
                <w:kern w:val="0"/>
                <w:szCs w:val="21"/>
                <w:lang w:eastAsia="zh-CN" w:bidi="ar"/>
              </w:rPr>
            </w:pPr>
            <w:r>
              <w:rPr>
                <w:rFonts w:hint="eastAsia"/>
                <w:szCs w:val="21"/>
                <w:lang w:bidi="ar"/>
              </w:rPr>
              <w:t xml:space="preserve">未检出变异</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3287"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华文细黑" w:hAnsi="华文细黑" w:eastAsia="等线" w:cs="华文细黑"/>
                <w:b w:val="0"/>
                <w:bCs w:val="0"/>
                <w:color w:val="000000"/>
                <w:kern w:val="0"/>
                <w:szCs w:val="21"/>
                <w:lang w:eastAsia="zh-CN" w:bidi="ar"/>
              </w:rPr>
            </w:pPr>
            <w:r>
              <w:rPr>
                <w:rFonts w:hint="eastAsia"/>
                <w:b/>
                <w:bCs/>
                <w:szCs w:val="21"/>
                <w:lang w:bidi="ar"/>
              </w:rPr>
              <w:t xml:space="preserve">NTRK1</w:t>
            </w:r>
          </w:p>
        </w:tc>
        <w:tc>
          <w:tcPr>
            <w:tcW w:w="325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华文细黑" w:hAnsi="华文细黑" w:eastAsia="等线" w:cs="华文细黑"/>
                <w:b/>
                <w:color w:val="000000"/>
                <w:kern w:val="0"/>
                <w:szCs w:val="21"/>
                <w:lang w:eastAsia="zh-CN" w:bidi="ar"/>
              </w:rPr>
            </w:pPr>
            <w:r>
              <w:rPr>
                <w:rFonts w:hint="eastAsia"/>
                <w:szCs w:val="21"/>
                <w:lang w:bidi="ar"/>
              </w:rPr>
              <w:t xml:space="preserve">突变/融合</w:t>
            </w:r>
          </w:p>
        </w:tc>
        <w:tc>
          <w:tcPr>
            <w:tcW w:w="330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华文细黑" w:hAnsi="华文细黑" w:eastAsia="等线" w:cs="华文细黑"/>
                <w:b/>
                <w:color w:val="000000"/>
                <w:kern w:val="0"/>
                <w:szCs w:val="21"/>
                <w:lang w:eastAsia="zh-CN" w:bidi="ar"/>
              </w:rPr>
            </w:pPr>
            <w:r>
              <w:rPr>
                <w:rFonts w:hint="eastAsia"/>
                <w:szCs w:val="21"/>
                <w:lang w:bidi="ar"/>
              </w:rPr>
              <w:t xml:space="preserve">未检出变异</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3287"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华文细黑" w:hAnsi="华文细黑" w:eastAsia="等线" w:cs="华文细黑"/>
                <w:b w:val="0"/>
                <w:bCs w:val="0"/>
                <w:color w:val="000000"/>
                <w:kern w:val="0"/>
                <w:szCs w:val="21"/>
                <w:lang w:eastAsia="zh-CN" w:bidi="ar"/>
              </w:rPr>
            </w:pPr>
            <w:r>
              <w:rPr>
                <w:rFonts w:hint="eastAsia"/>
                <w:b/>
                <w:bCs/>
                <w:szCs w:val="21"/>
                <w:lang w:bidi="ar"/>
              </w:rPr>
              <w:t xml:space="preserve">NTRK2</w:t>
            </w:r>
          </w:p>
        </w:tc>
        <w:tc>
          <w:tcPr>
            <w:tcW w:w="325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华文细黑" w:hAnsi="华文细黑" w:eastAsia="等线" w:cs="华文细黑"/>
                <w:b/>
                <w:color w:val="000000"/>
                <w:kern w:val="0"/>
                <w:szCs w:val="21"/>
                <w:lang w:eastAsia="zh-CN" w:bidi="ar"/>
              </w:rPr>
            </w:pPr>
            <w:r>
              <w:rPr>
                <w:rFonts w:hint="eastAsia"/>
                <w:szCs w:val="21"/>
                <w:lang w:bidi="ar"/>
              </w:rPr>
              <w:t xml:space="preserve">融合</w:t>
            </w:r>
          </w:p>
        </w:tc>
        <w:tc>
          <w:tcPr>
            <w:tcW w:w="330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华文细黑" w:hAnsi="华文细黑" w:eastAsia="等线" w:cs="华文细黑"/>
                <w:b/>
                <w:color w:val="000000"/>
                <w:kern w:val="0"/>
                <w:szCs w:val="21"/>
                <w:lang w:eastAsia="zh-CN" w:bidi="ar"/>
              </w:rPr>
            </w:pPr>
            <w:r>
              <w:rPr>
                <w:rFonts w:hint="eastAsia"/>
                <w:szCs w:val="21"/>
                <w:lang w:bidi="ar"/>
              </w:rPr>
              <w:t xml:space="preserve">未检出变异</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3287"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华文细黑" w:hAnsi="华文细黑" w:eastAsia="等线" w:cs="华文细黑"/>
                <w:b w:val="0"/>
                <w:bCs w:val="0"/>
                <w:color w:val="000000"/>
                <w:kern w:val="0"/>
                <w:szCs w:val="21"/>
                <w:lang w:eastAsia="zh-CN" w:bidi="ar"/>
              </w:rPr>
            </w:pPr>
            <w:r>
              <w:rPr>
                <w:rFonts w:hint="eastAsia"/>
                <w:b/>
                <w:bCs/>
                <w:szCs w:val="21"/>
                <w:lang w:bidi="ar"/>
              </w:rPr>
              <w:t xml:space="preserve">NTRK3</w:t>
            </w:r>
          </w:p>
        </w:tc>
        <w:tc>
          <w:tcPr>
            <w:tcW w:w="325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华文细黑" w:hAnsi="华文细黑" w:eastAsia="等线" w:cs="华文细黑"/>
                <w:b/>
                <w:color w:val="000000"/>
                <w:kern w:val="0"/>
                <w:szCs w:val="21"/>
                <w:lang w:eastAsia="zh-CN" w:bidi="ar"/>
              </w:rPr>
            </w:pPr>
            <w:r>
              <w:rPr>
                <w:rFonts w:hint="eastAsia"/>
                <w:szCs w:val="21"/>
                <w:lang w:bidi="ar"/>
              </w:rPr>
              <w:t xml:space="preserve">突变/融合</w:t>
            </w:r>
          </w:p>
        </w:tc>
        <w:tc>
          <w:tcPr>
            <w:tcW w:w="330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华文细黑" w:hAnsi="华文细黑" w:eastAsia="等线" w:cs="华文细黑"/>
                <w:b/>
                <w:color w:val="000000"/>
                <w:kern w:val="0"/>
                <w:szCs w:val="21"/>
                <w:lang w:eastAsia="zh-CN" w:bidi="ar"/>
              </w:rPr>
            </w:pPr>
            <w:r>
              <w:rPr>
                <w:rFonts w:hint="eastAsia"/>
                <w:szCs w:val="21"/>
                <w:lang w:bidi="ar"/>
              </w:rPr>
              <w:t xml:space="preserve">未检出变异</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3287"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华文细黑" w:hAnsi="华文细黑" w:eastAsia="等线" w:cs="华文细黑"/>
                <w:b w:val="0"/>
                <w:bCs w:val="0"/>
                <w:color w:val="000000"/>
                <w:kern w:val="0"/>
                <w:szCs w:val="21"/>
                <w:lang w:eastAsia="zh-CN" w:bidi="ar"/>
              </w:rPr>
            </w:pPr>
            <w:r>
              <w:rPr>
                <w:rFonts w:hint="eastAsia"/>
                <w:b/>
                <w:bCs/>
                <w:szCs w:val="21"/>
                <w:lang w:bidi="ar"/>
              </w:rPr>
              <w:t xml:space="preserve">RET</w:t>
            </w:r>
          </w:p>
        </w:tc>
        <w:tc>
          <w:tcPr>
            <w:tcW w:w="325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华文细黑" w:hAnsi="华文细黑" w:eastAsia="等线" w:cs="华文细黑"/>
                <w:b/>
                <w:color w:val="000000"/>
                <w:kern w:val="0"/>
                <w:szCs w:val="21"/>
                <w:lang w:eastAsia="zh-CN" w:bidi="ar"/>
              </w:rPr>
            </w:pPr>
            <w:r>
              <w:rPr>
                <w:rFonts w:hint="eastAsia"/>
                <w:szCs w:val="21"/>
                <w:lang w:bidi="ar"/>
              </w:rPr>
              <w:t xml:space="preserve">融合</w:t>
            </w:r>
          </w:p>
        </w:tc>
        <w:tc>
          <w:tcPr>
            <w:tcW w:w="330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华文细黑" w:hAnsi="华文细黑" w:eastAsia="等线" w:cs="华文细黑"/>
                <w:b/>
                <w:color w:val="000000"/>
                <w:kern w:val="0"/>
                <w:szCs w:val="21"/>
                <w:lang w:eastAsia="zh-CN" w:bidi="ar"/>
              </w:rPr>
            </w:pPr>
            <w:r>
              <w:rPr>
                <w:rFonts w:hint="eastAsia"/>
                <w:szCs w:val="21"/>
                <w:lang w:bidi="ar"/>
              </w:rPr>
              <w:t xml:space="preserve">未检出变异</w:t>
            </w:r>
          </w:p>
        </w:tc>
      </w:tr>
    </w:tbl>
    <w:p>
      <w:pPr>
        <w:snapToGrid w:val="0"/>
        <w:jc w:val="left"/>
        <w:rPr>
          <w:rFonts w:hAnsi="等线"/>
          <w:szCs w:val="21"/>
        </w:rPr>
      </w:pPr>
      <w:r>
        <w:rPr>
          <w:rFonts w:hAnsi="等线"/>
          <w:szCs w:val="21"/>
        </w:rPr>
        <w:br w:type="page"/>
      </w:r>
    </w:p>
    <w:bookmarkEnd w:id="20"/>
    <w:p>
      <w:pPr>
        <w:pStyle w:val="2"/>
        <w:jc w:val="center"/>
        <w:rPr>
          <w:rFonts w:hAnsi="等线"/>
          <w:szCs w:val="21"/>
        </w:rPr>
      </w:pPr>
      <w:bookmarkStart w:id="31" w:name="Part3：详细解读"/>
      <w:bookmarkEnd w:id="31"/>
      <w:bookmarkStart w:id="32" w:name="_Toc81378418"/>
      <w:bookmarkStart w:id="33" w:name="_Toc89103146"/>
      <w:bookmarkStart w:id="34" w:name="_Ref80371448"/>
      <w:r>
        <w:rPr>
          <w:rFonts w:hAnsi="等线"/>
          <w:color w:val="00B0F0"/>
        </w:rPr>
        <w:t>Part 3: 检测结果详细解读</w:t>
      </w:r>
      <w:bookmarkEnd w:id="32"/>
      <w:bookmarkEnd w:id="33"/>
      <w:bookmarkEnd w:id="34"/>
      <w:r>
        <w:rPr>
          <w:sz w:val="36"/>
          <w:szCs w:val="36"/>
        </w:rPr>
        <mc:AlternateContent>
          <mc:Choice Requires="wps">
            <w:drawing>
              <wp:anchor distT="0" distB="0" distL="114300" distR="114300" simplePos="0" relativeHeight="251667456" behindDoc="0" locked="0" layoutInCell="1" allowOverlap="1">
                <wp:simplePos x="0" y="0"/>
                <wp:positionH relativeFrom="column">
                  <wp:posOffset>1224280</wp:posOffset>
                </wp:positionH>
                <wp:positionV relativeFrom="paragraph">
                  <wp:posOffset>-32385</wp:posOffset>
                </wp:positionV>
                <wp:extent cx="3726180" cy="561975"/>
                <wp:effectExtent l="0" t="0" r="26670" b="28575"/>
                <wp:wrapNone/>
                <wp:docPr id="1017" name="圆角矩形 7"/>
                <wp:cNvGraphicFramePr/>
                <a:graphic xmlns:a="http://schemas.openxmlformats.org/drawingml/2006/main">
                  <a:graphicData uri="http://schemas.microsoft.com/office/word/2010/wordprocessingShape">
                    <wps:wsp>
                      <wps:cNvSpPr/>
                      <wps:spPr>
                        <a:xfrm>
                          <a:off x="0" y="0"/>
                          <a:ext cx="3726180" cy="561975"/>
                        </a:xfrm>
                        <a:prstGeom prst="roundRect">
                          <a:avLst/>
                        </a:prstGeom>
                        <a:noFill/>
                        <a:ln w="25400">
                          <a:solidFill>
                            <a:srgbClr val="00B0F0"/>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id="圆角矩形 7" o:spid="_x0000_s1026" o:spt="2" style="position:absolute;left:0pt;margin-left:96.4pt;margin-top:-2.55pt;height:44.25pt;width:293.4pt;z-index:251667456;v-text-anchor:middle;mso-width-relative:page;mso-height-relative:page;" filled="f" stroked="t" coordsize="21600,21600" arcsize="0.166666666666667" o:gfxdata="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">
                <v:fill on="f" focussize="0,0"/>
                <v:stroke weight="2pt" color="#00B0F0 [3204]" miterlimit="8" joinstyle="miter"/>
                <v:imagedata o:title=""/>
                <o:lock v:ext="edit" aspectratio="f"/>
                <v:textbox>
                  <w:txbxContent>
                    <w:p>
                      <w:pPr>
                        <w:jc w:val="center"/>
                      </w:pPr>
                    </w:p>
                  </w:txbxContent>
                </v:textbox>
              </v:roundrect>
            </w:pict>
          </mc:Fallback>
        </mc:AlternateContent>
      </w:r>
    </w:p>
    <w:bookmarkEnd w:id="3"/>
    <w:p>
      <w:pPr>
        <w:rPr>
          <w:rFonts w:hAnsi="等线" w:cs="Arial"/>
          <w:b/>
          <w:bCs/>
          <w:color w:val="00B0F0"/>
          <w:szCs w:val="28"/>
        </w:rPr>
      </w:pPr>
      <w:bookmarkStart w:id="35" w:name="肺癌用药相关核心基因"/>
      <w:bookmarkEnd w:id="35"/>
      <w:bookmarkStart w:id="36" w:name="_Toc81378419"/>
      <w:bookmarkStart w:id="37" w:name="_Ref80948822"/>
      <w:bookmarkStart w:id="38" w:name="_Toc89103147"/>
      <w:r>
        <mc:AlternateContent>
          <mc:Choice Requires="wpg">
            <w:drawing>
              <wp:anchor distT="0" distB="0" distL="114300" distR="114300" simplePos="0" relativeHeight="251681792" behindDoc="0" locked="0" layoutInCell="1" allowOverlap="1">
                <wp:simplePos x="0" y="0"/>
                <wp:positionH relativeFrom="column">
                  <wp:posOffset>-32385</wp:posOffset>
                </wp:positionH>
                <wp:positionV relativeFrom="paragraph">
                  <wp:posOffset>341630</wp:posOffset>
                </wp:positionV>
                <wp:extent cx="6294120" cy="388620"/>
                <wp:effectExtent l="0" t="10795" r="5080" b="19685"/>
                <wp:wrapNone/>
                <wp:docPr id="1018" name="组合 97"/>
                <wp:cNvGraphicFramePr/>
                <a:graphic xmlns:a="http://schemas.openxmlformats.org/drawingml/2006/main">
                  <a:graphicData uri="http://schemas.microsoft.com/office/word/2010/wordprocessingGroup">
                    <wpg:wgp>
                      <wpg:cNvGrpSpPr/>
                      <wpg:grpSpPr>
                        <a:xfrm>
                          <a:off x="0" y="0"/>
                          <a:ext cx="6294120" cy="388620"/>
                          <a:chOff x="2592" y="292680"/>
                          <a:chExt cx="9912" cy="612"/>
                        </a:xfrm>
                      </wpg:grpSpPr>
                      <wps:wsp>
                        <wps:cNvPr id="64" name="圆角矩形 57"/>
                        <wps:cNvSpPr/>
                        <wps:spPr>
                          <a:xfrm>
                            <a:off x="4368" y="292680"/>
                            <a:ext cx="6348" cy="612"/>
                          </a:xfrm>
                          <a:prstGeom prst="roundRect">
                            <a:avLst/>
                          </a:prstGeom>
                          <a:noFill/>
                          <a:ln w="22225" cap="flat" cmpd="sng" algn="ctr">
                            <a:solidFill>
                              <a:srgbClr val="4472C4"/>
                            </a:solidFill>
                            <a:prstDash val="solid"/>
                            <a:miter lim="800000"/>
                          </a:ln>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65" name="直接连接符 60"/>
                        <wps:cNvCnPr/>
                        <wps:spPr>
                          <a:xfrm flipH="1">
                            <a:off x="2592" y="292986"/>
                            <a:ext cx="1776" cy="0"/>
                          </a:xfrm>
                          <a:prstGeom prst="line">
                            <a:avLst/>
                          </a:prstGeom>
                          <a:noFill/>
                          <a:ln w="28575" cap="flat" cmpd="sng" algn="ctr">
                            <a:solidFill>
                              <a:srgbClr val="4472C4"/>
                            </a:solidFill>
                            <a:prstDash val="solid"/>
                            <a:miter lim="800000"/>
                          </a:ln>
                          <a:effectLst/>
                        </wps:spPr>
                        <wps:style>
                          <a:lnRef idx="1">
                            <a:schemeClr val="accent1"/>
                          </a:lnRef>
                          <a:fillRef idx="0">
                            <a:schemeClr val="accent1"/>
                          </a:fillRef>
                          <a:effectRef idx="0">
                            <a:schemeClr val="accent1"/>
                          </a:effectRef>
                          <a:fontRef idx="minor">
                            <a:schemeClr val="tx1"/>
                          </a:fontRef>
                        </wps:style>
                        <wps:bodyPr/>
                      </wps:wsp>
                      <wps:wsp>
                        <wps:cNvPr id="66" name="直接连接符 61"/>
                        <wps:cNvCnPr/>
                        <wps:spPr>
                          <a:xfrm flipH="1">
                            <a:off x="10728" y="292962"/>
                            <a:ext cx="1776" cy="0"/>
                          </a:xfrm>
                          <a:prstGeom prst="line">
                            <a:avLst/>
                          </a:prstGeom>
                          <a:noFill/>
                          <a:ln w="28575" cap="flat" cmpd="sng" algn="ctr">
                            <a:solidFill>
                              <a:srgbClr val="4472C4"/>
                            </a:solidFill>
                            <a:prstDash val="solid"/>
                            <a:miter lim="800000"/>
                          </a:ln>
                          <a:effectLst/>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id="_x0000_s1026" o:spid="_x0000_s1026" o:spt="203" style="position:absolute;left:0pt;margin-left:-2.55pt;margin-top:26.9pt;height:30.6pt;width:495.6pt;z-index:251681792;mso-width-relative:page;mso-height-relative:page;" coordorigin="2592,292680" coordsize="9912,612" o:gfxdata="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">
                <o:lock v:ext="edit" aspectratio="f"/>
                <v:roundrect id="圆角矩形 57" o:spid="_x0000_s1026" o:spt="2" style="position:absolute;left:4368;top:292680;height:612;width:6348;v-text-anchor:middle;" filled="f" stroked="t" coordsize="21600,21600" arcsize="0.166666666666667" o:gfxdata="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6ISW74A&#10;AADbAAAADwAAAAAAAAABACAAAAAiAAAAZHJzL2Rvd25yZXYueG1sUEsBAhQAFAAAAAgAh07iQDMv&#10;BZ47AAAAOQAAABAAAAAAAAAAAQAgAAAADQEAAGRycy9zaGFwZXhtbC54bWxQSwUGAAAAAAYABgBb&#10;AQAAtwMAAAAA&#10;">
                  <v:fill on="f" focussize="0,0"/>
                  <v:stroke weight="1.75pt" color="#4472C4 [3204]" miterlimit="8" joinstyle="miter"/>
                  <v:imagedata o:title=""/>
                  <o:lock v:ext="edit" aspectratio="f"/>
                </v:roundrect>
                <v:line id="直接连接符 60" o:spid="_x0000_s1026" o:spt="20" style="position:absolute;left:2592;top:292986;flip:x;height:0;width:1776;" filled="f" stroked="t" coordsize="21600,21600" o:gfxdata="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Ob2sIu/&#10;AAAA2wAAAA8AAAAAAAAAAQAgAAAAIgAAAGRycy9kb3ducmV2LnhtbFBLAQIUABQAAAAIAIdO4kAz&#10;LwWeOwAAADkAAAAQAAAAAAAAAAEAIAAAAA4BAABkcnMvc2hhcGV4bWwueG1sUEsFBgAAAAAGAAYA&#10;WwEAALgDAAAAAA==&#10;">
                  <v:fill on="f" focussize="0,0"/>
                  <v:stroke weight="2.25pt" color="#4472C4 [3204]" miterlimit="8" joinstyle="miter"/>
                  <v:imagedata o:title=""/>
                  <o:lock v:ext="edit" aspectratio="f"/>
                </v:line>
                <v:line id="直接连接符 61" o:spid="_x0000_s1026" o:spt="20" style="position:absolute;left:10728;top:292962;flip:x;height:0;width:1776;" filled="f" stroked="t" coordsize="21600,21600" o:gfxdata="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WJC78&#10;wAAAANsAAAAPAAAAAAAAAAEAIAAAACIAAABkcnMvZG93bnJldi54bWxQSwECFAAUAAAACACHTuJA&#10;My8FnjsAAAA5AAAAEAAAAAAAAAABACAAAAAPAQAAZHJzL3NoYXBleG1sLnhtbFBLBQYAAAAABgAG&#10;AFsBAAC5AwAAAAA=&#10;">
                  <v:fill on="f" focussize="0,0"/>
                  <v:stroke weight="2.25pt" color="#4472C4 [3204]" miterlimit="8" joinstyle="miter"/>
                  <v:imagedata o:title=""/>
                  <o:lock v:ext="edit" aspectratio="f"/>
                </v:line>
              </v:group>
            </w:pict>
          </mc:Fallback>
        </mc:AlternateContent>
      </w:r>
      <w:bookmarkEnd w:id="36"/>
      <w:bookmarkEnd w:id="37"/>
      <w:bookmarkEnd w:id="38"/>
    </w:p>
    <w:p>
      <w:pPr>
        <w:adjustRightInd w:val="0"/>
        <w:snapToGrid w:val="0"/>
        <w:jc w:val="left"/>
        <w:rPr>
          <w:rFonts w:hAnsi="等线" w:cs="Arial"/>
          <w:b/>
          <w:color w:val="000000"/>
          <w:szCs w:val="21"/>
          <w:u w:val="single"/>
          <w14:textFill>
            <w14:solidFill>
              <w14:srgbClr w14:val="000000">
                <w14:lumMod w14:val="85000"/>
                <w14:lumOff w14:val="15000"/>
              </w14:srgbClr>
            </w14:solidFill>
          </w14:textFill>
        </w:rPr>
      </w:pPr>
      <w:bookmarkStart w:id="39" w:name="靶向药物相关突变基因及临床意义"/>
      <w:bookmarkEnd w:id="39"/>
      <w:r>
        <w:rPr>
          <w:sz w:val="36"/>
        </w:rPr>
        <mc:AlternateContent>
          <mc:Choice Requires="wps">
            <w:drawing>
              <wp:anchor distT="0" distB="0" distL="114300" distR="114300" simplePos="0" relativeHeight="251682816" behindDoc="0" locked="0" layoutInCell="1" allowOverlap="1">
                <wp:simplePos x="0" y="0"/>
                <wp:positionH relativeFrom="column">
                  <wp:posOffset>1088390</wp:posOffset>
                </wp:positionH>
                <wp:positionV relativeFrom="paragraph">
                  <wp:posOffset>100330</wp:posOffset>
                </wp:positionV>
                <wp:extent cx="4037965" cy="624205"/>
                <wp:effectExtent l="0" t="0" r="0" b="0"/>
                <wp:wrapNone/>
                <wp:docPr id="1019" name="文本框 67"/>
                <wp:cNvGraphicFramePr/>
                <a:graphic xmlns:a="http://schemas.openxmlformats.org/drawingml/2006/main">
                  <a:graphicData uri="http://schemas.microsoft.com/office/word/2010/wordprocessingShape">
                    <wps:wsp>
                      <wps:cNvSpPr txBox="1"/>
                      <wps:spPr>
                        <a:xfrm>
                          <a:off x="4808855" y="1544955"/>
                          <a:ext cx="4037965" cy="62420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jc w:val="center"/>
                              <w:rPr>
                                <w:color w:val="4472C4"/>
                              </w:rPr>
                            </w:pPr>
                            <w:r>
                              <w:rPr>
                                <w:rFonts w:hint="eastAsia" w:hAnsi="等线" w:cs="Arial"/>
                                <w:b/>
                                <w:bCs/>
                                <w:color w:val="4472C4"/>
                                <w:sz w:val="32"/>
                                <w:szCs w:val="32"/>
                                <w:lang w:val="en-US" w:eastAsia="zh-CN"/>
                              </w:rPr>
                              <w:t>靶向用药基因检测结果及临床意义</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85.7pt;margin-top:7.9pt;height:49.15pt;width:317.95pt;z-index:251682816;mso-width-relative:page;mso-height-relative:page;" filled="f" stroked="f" coordsize="21600,21600" o:gfxdata="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">
                <v:fill on="f" focussize="0,0"/>
                <v:stroke on="f" weight="0.5pt"/>
                <v:imagedata o:title=""/>
                <o:lock v:ext="edit" aspectratio="f"/>
                <v:textbox>
                  <w:txbxContent>
                    <w:p>
                      <w:pPr>
                        <w:jc w:val="center"/>
                        <w:rPr>
                          <w:color w:val="4472C4"/>
                        </w:rPr>
                      </w:pPr>
                      <w:r>
                        <w:rPr>
                          <w:rFonts w:hint="eastAsia" w:hAnsi="等线" w:cs="Arial"/>
                          <w:b/>
                          <w:bCs/>
                          <w:color w:val="4472C4"/>
                          <w:sz w:val="32"/>
                          <w:szCs w:val="32"/>
                          <w:lang w:val="en-US" w:eastAsia="zh-CN"/>
                        </w:rPr>
                        <w:t>靶向用药基因检测结果及临床意义</w:t>
                      </w:r>
                    </w:p>
                  </w:txbxContent>
                </v:textbox>
              </v:shape>
            </w:pict>
          </mc:Fallback>
        </mc:AlternateContent>
      </w:r>
    </w:p>
    <w:p>
      <w:pPr>
        <w:adjustRightInd w:val="0"/>
        <w:snapToGrid w:val="0"/>
        <w:jc w:val="left"/>
        <w:outlineLvl w:val="1"/>
        <w:rPr>
          <w:rFonts w:hAnsi="等线" w:cs="Arial"/>
          <w:b/>
          <w:color w:val="000000"/>
          <w:szCs w:val="21"/>
          <w:u w:val="single"/>
          <w14:textFill>
            <w14:solidFill>
              <w14:srgbClr w14:val="000000">
                <w14:lumMod w14:val="85000"/>
                <w14:lumOff w14:val="15000"/>
              </w14:srgbClr>
            </w14:solidFill>
          </w14:textFill>
        </w:rPr>
      </w:pPr>
    </w:p>
    <w:p>
      <w:pPr>
        <w:adjustRightInd w:val="0"/>
        <w:snapToGrid w:val="0"/>
        <w:jc w:val="left"/>
        <w:rPr>
          <w:rFonts w:hAnsi="等线" w:cs="Arial"/>
          <w:b/>
          <w:color w:val="000000"/>
          <w:szCs w:val="21"/>
          <w:u w:val="single"/>
          <w14:textFill>
            <w14:solidFill>
              <w14:srgbClr w14:val="000000">
                <w14:lumMod w14:val="85000"/>
                <w14:lumOff w14:val="15000"/>
              </w14:srgbClr>
            </w14:solidFill>
          </w14:textFill>
        </w:rPr>
      </w:pPr>
    </w:p>
    <w:p>
      <w:pPr>
        <w:adjustRightInd w:val="0"/>
        <w:snapToGrid w:val="0"/>
        <w:jc w:val="left"/>
        <w:rPr>
          <w:rFonts w:hAnsi="等线" w:cs="Arial"/>
          <w:b/>
          <w:color w:val="000000"/>
          <w:szCs w:val="21"/>
          <w:u w:val="single"/>
          <w14:textFill>
            <w14:solidFill>
              <w14:srgbClr w14:val="000000">
                <w14:lumMod w14:val="85000"/>
                <w14:lumOff w14:val="15000"/>
              </w14:srgbClr>
            </w14:solidFill>
          </w14:textFill>
        </w:rPr>
      </w:pPr>
    </w:p>
    <w:p>
      <w:pPr>
        <w:adjustRightInd w:val="0"/>
        <w:snapToGrid w:val="0"/>
        <w:jc w:val="left"/>
        <w:rPr>
          <w:rFonts w:hAnsi="等线" w:cs="Arial"/>
          <w:b/>
          <w:color w:val="000000"/>
          <w:szCs w:val="21"/>
          <w:u w:val="single"/>
          <w14:textFill>
            <w14:solidFill>
              <w14:srgbClr w14:val="000000">
                <w14:lumMod w14:val="85000"/>
                <w14:lumOff w14:val="15000"/>
              </w14:srgbClr>
            </w14:solidFill>
          </w14:textFill>
        </w:rPr>
      </w:pPr>
    </w:p>
    <w:p>
      <w:pPr>
        <w:spacing w:line="360" w:lineRule="auto"/>
        <w:ind w:firstLine="560" w:firstLineChars="200"/>
        <w:jc w:val="left"/>
        <w:outlineLvl w:val="2"/>
      </w:pPr>
      <w:bookmarkStart w:id="40" w:name="具有明确临床意义的基因变异【I类】"/>
      <w:bookmarkEnd w:id="40"/>
      <w:bookmarkStart w:id="41" w:name="_Toc45207814"/>
      <w:bookmarkStart w:id="42" w:name="_Toc89103148"/>
      <w:r>
        <w:rPr>
          <w:rFonts w:hAnsi="等线" w:cs="Arial"/>
          <w:b/>
          <w:bCs/>
          <w:color w:val="4472C4"/>
          <w:sz w:val="28"/>
          <w:szCs w:val="28"/>
        </w:rPr>
        <w:drawing>
          <wp:anchor distT="0" distB="0" distL="114300" distR="114300" simplePos="0" relativeHeight="251683840" behindDoc="0" locked="0" layoutInCell="1" allowOverlap="1">
            <wp:simplePos x="0" y="0"/>
            <wp:positionH relativeFrom="column">
              <wp:posOffset>19685</wp:posOffset>
            </wp:positionH>
            <wp:positionV relativeFrom="paragraph">
              <wp:posOffset>67945</wp:posOffset>
            </wp:positionV>
            <wp:extent cx="275590" cy="277495"/>
            <wp:effectExtent l="0" t="0" r="3810" b="1905"/>
            <wp:wrapNone/>
            <wp:docPr id="1020" name="图片 71" descr="D:\解码\4x\资源 3@47.png资源 3@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descr="D:\解码\4x\资源 3@47.png资源 3@47"/>
                    <pic:cNvPicPr>
                      <a:picLocks noChangeAspect="1"/>
                    </pic:cNvPicPr>
                  </pic:nvPicPr>
                  <pic:blipFill>
                    <a:blip r:embed="rId13"/>
                    <a:srcRect/>
                    <a:stretch>
                      <a:fillRect/>
                    </a:stretch>
                  </pic:blipFill>
                  <pic:spPr>
                    <a:xfrm>
                      <a:off x="0" y="0"/>
                      <a:ext cx="275590" cy="277495"/>
                    </a:xfrm>
                    <a:prstGeom prst="rect">
                      <a:avLst/>
                    </a:prstGeom>
                  </pic:spPr>
                </pic:pic>
              </a:graphicData>
            </a:graphic>
          </wp:anchor>
        </w:drawing>
      </w:r>
      <w:r>
        <w:rPr>
          <w:rFonts w:hAnsi="等线" w:cs="Arial"/>
          <w:b/>
          <w:bCs/>
          <w:color w:val="4472C4"/>
          <w:sz w:val="28"/>
          <w:szCs w:val="28"/>
        </w:rPr>
        <w:t>具有</w:t>
      </w:r>
      <w:r>
        <w:rPr>
          <w:rFonts w:hint="eastAsia" w:hAnsi="等线" w:cs="Arial"/>
          <w:b/>
          <w:bCs/>
          <w:color w:val="4472C4"/>
          <w:sz w:val="28"/>
          <w:szCs w:val="28"/>
        </w:rPr>
        <w:t>明确</w:t>
      </w:r>
      <w:r>
        <w:rPr>
          <w:rFonts w:hAnsi="等线" w:cs="Arial"/>
          <w:b/>
          <w:bCs/>
          <w:color w:val="4472C4"/>
          <w:sz w:val="28"/>
          <w:szCs w:val="28"/>
        </w:rPr>
        <w:t>临床意义的基因变异</w:t>
      </w:r>
      <w:bookmarkEnd w:id="41"/>
      <w:bookmarkEnd w:id="42"/>
      <w:r>
        <w:rPr>
          <w:rFonts w:hint="eastAsia" w:hAnsi="等线" w:cs="Arial"/>
          <w:b/>
          <w:bCs/>
          <w:color w:val="4472C4"/>
          <w:sz w:val="28"/>
          <w:szCs w:val="28"/>
        </w:rPr>
        <w:t>【Ⅰ类】</w:t>
      </w:r>
    </w:p>
    <w:tbl>
      <w:tblPr>
        <w:tblStyle w:val="58"/>
        <w:tblW w:w="9989" w:type="dxa"/>
        <w:tblInd w:w="0" w:type="dxa"/>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Layout w:type="fixed"/>
        <w:tblCellMar>
          <w:top w:w="0" w:type="dxa"/>
          <w:left w:w="108" w:type="dxa"/>
          <w:bottom w:w="0" w:type="dxa"/>
          <w:right w:w="108" w:type="dxa"/>
        </w:tblCellMar>
      </w:tblPr>
      <w:tblGrid>
        <w:gridCol w:w="1058"/>
        <w:gridCol w:w="1281"/>
        <w:gridCol w:w="1664"/>
        <w:gridCol w:w="1601"/>
        <w:gridCol w:w="1330"/>
        <w:gridCol w:w="1270"/>
        <w:gridCol w:w="1785"/>
      </w:tblGrid>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595" w:hRule="atLeast"/>
        </w:trPr>
        <w:tc>
          <w:tcPr>
            <w:tcW w:w="1058"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kern w:val="0"/>
                <w:szCs w:val="21"/>
              </w:rPr>
              <w:br w:type="page"/>
            </w:r>
            <w:r>
              <w:rPr>
                <w:rFonts w:hAnsi="等线" w:cs="Arial"/>
                <w:b/>
                <w:bCs/>
                <w:color w:val="FFFFFF"/>
                <w:szCs w:val="21"/>
              </w:rPr>
              <w:t>基因</w:t>
            </w:r>
          </w:p>
        </w:tc>
        <w:tc>
          <w:tcPr>
            <w:tcW w:w="1281"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转录本编号</w:t>
            </w:r>
          </w:p>
        </w:tc>
        <w:tc>
          <w:tcPr>
            <w:tcW w:w="1664"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核苷酸变化</w:t>
            </w:r>
          </w:p>
        </w:tc>
        <w:tc>
          <w:tcPr>
            <w:tcW w:w="1601"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氨基酸变化</w:t>
            </w:r>
          </w:p>
        </w:tc>
        <w:tc>
          <w:tcPr>
            <w:tcW w:w="1330"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外显子位置</w:t>
            </w:r>
          </w:p>
        </w:tc>
        <w:tc>
          <w:tcPr>
            <w:tcW w:w="1270"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变异类型</w:t>
            </w:r>
          </w:p>
        </w:tc>
        <w:tc>
          <w:tcPr>
            <w:tcW w:w="1785" w:type="dxa"/>
            <w:tcBorders>
              <w:insideV w:val="nil"/>
              <w:tl2br w:val="nil"/>
              <w:tr2bl w:val="nil"/>
            </w:tcBorders>
            <w:shd w:val="clear" w:color="auto" w:fill="4472C4"/>
            <w:vAlign w:val="center"/>
          </w:tcPr>
          <w:p>
            <w:pPr>
              <w:widowControl/>
              <w:spacing w:line="360" w:lineRule="auto"/>
              <w:ind w:left="-105" w:leftChars="-50" w:right="-105" w:rightChars="-50"/>
              <w:jc w:val="center"/>
              <w:rPr>
                <w:rFonts w:hAnsi="等线" w:cs="Arial"/>
                <w:b/>
                <w:bCs/>
                <w:color w:val="FFFFFF"/>
                <w:szCs w:val="21"/>
              </w:rPr>
            </w:pPr>
            <w:r>
              <w:rPr>
                <w:rFonts w:hAnsi="等线" w:cs="Arial"/>
                <w:b/>
                <w:bCs/>
                <w:color w:val="FFFFFF"/>
                <w:szCs w:val="21"/>
              </w:rPr>
              <w:t>突变</w:t>
            </w:r>
            <w:r>
              <w:rPr>
                <w:rFonts w:hint="eastAsia" w:hAnsi="等线" w:cs="Arial"/>
                <w:b/>
                <w:bCs/>
                <w:color w:val="FFFFFF"/>
                <w:szCs w:val="21"/>
              </w:rPr>
              <w:t>丰度</w:t>
            </w:r>
            <w:r>
              <w:rPr>
                <w:rFonts w:hAnsi="等线" w:cs="Arial"/>
                <w:b/>
                <w:bCs/>
                <w:color w:val="FFFFFF"/>
                <w:szCs w:val="21"/>
              </w:rPr>
              <w:t>/拷贝数</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c>
          <w:tcPr>
            <w:tcW w:w="9989" w:type="dxa"/>
            <w:gridSpan w:val="7"/>
            <w:tcBorders>
              <w:tl2br w:val="nil"/>
              <w:tr2bl w:val="nil"/>
            </w:tcBorders>
            <w:shd w:val="clear" w:color="auto" w:fill="F2F2F2"/>
            <w:vAlign w:val="center"/>
          </w:tcPr>
          <w:p>
            <w:pPr>
              <w:widowControl/>
              <w:spacing w:line="360" w:lineRule="auto"/>
              <w:rPr>
                <w:rFonts w:hint="default" w:hAnsi="等线" w:cs="等线"/>
                <w:b w:val="0"/>
                <w:bCs w:val="0"/>
                <w:color w:val="404040"/>
                <w:sz w:val="20"/>
                <w:szCs w:val="20"/>
                <w:lang w:val="en-US" w:eastAsia="zh-CN" w:bidi="ar"/>
              </w:rPr>
            </w:pPr>
            <w:r>
              <w:rPr>
                <w:rFonts w:hint="eastAsia" w:hAnsi="等线" w:cs="等线"/>
                <w:b w:val="0"/>
                <w:bCs w:val="0"/>
                <w:color w:val="404040"/>
                <w:sz w:val="20"/>
                <w:szCs w:val="20"/>
                <w:lang w:val="en-US" w:eastAsia="zh-CN" w:bidi="ar"/>
              </w:rPr>
              <w:t>未检测到Ⅰ类具有明确临床意义的基因变异</w:t>
            </w:r>
          </w:p>
        </w:tc>
      </w:tr>
    </w:tbl>
    <w:p>
      <w:pPr>
        <w:adjustRightInd w:val="0"/>
        <w:snapToGrid w:val="0"/>
        <w:jc w:val="left"/>
        <w:rPr>
          <w:rFonts w:hAnsi="等线" w:cs="Arial"/>
          <w:b/>
          <w:color w:val="000000"/>
          <w:szCs w:val="21"/>
          <w:u w:val="single"/>
          <w14:textFill>
            <w14:solidFill>
              <w14:srgbClr w14:val="000000">
                <w14:lumMod w14:val="85000"/>
                <w14:lumOff w14:val="15000"/>
              </w14:srgbClr>
            </w14:solidFill>
          </w14:textFill>
        </w:rPr>
      </w:pPr>
    </w:p>
    <w:p>
      <w:pPr>
        <w:adjustRightInd w:val="0"/>
        <w:snapToGrid w:val="0"/>
        <w:jc w:val="left"/>
        <w:rPr>
          <w:rFonts w:hAnsi="等线" w:cs="Arial"/>
          <w:b/>
          <w:color w:val="000000"/>
          <w:szCs w:val="21"/>
          <w:u w:val="single"/>
          <w14:textFill>
            <w14:solidFill>
              <w14:srgbClr w14:val="000000">
                <w14:lumMod w14:val="85000"/>
                <w14:lumOff w14:val="15000"/>
              </w14:srgbClr>
            </w14:solidFill>
          </w14:textFill>
        </w:rPr>
      </w:pPr>
    </w:p>
    <w:p>
      <w:pPr>
        <w:spacing w:line="360" w:lineRule="auto"/>
        <w:ind w:firstLine="560" w:firstLineChars="200"/>
        <w:jc w:val="left"/>
        <w:outlineLvl w:val="2"/>
      </w:pPr>
      <w:bookmarkStart w:id="43" w:name="具有潜在临床意义的基因变异【II类】"/>
      <w:bookmarkEnd w:id="43"/>
      <w:r>
        <w:rPr>
          <w:rFonts w:hAnsi="等线" w:cs="Arial"/>
          <w:b/>
          <w:bCs/>
          <w:color w:val="4472C4"/>
          <w:sz w:val="28"/>
          <w:szCs w:val="28"/>
        </w:rPr>
        <w:drawing>
          <wp:anchor distT="0" distB="0" distL="114300" distR="114300" simplePos="0" relativeHeight="251692032" behindDoc="0" locked="0" layoutInCell="1" allowOverlap="1">
            <wp:simplePos x="0" y="0"/>
            <wp:positionH relativeFrom="column">
              <wp:posOffset>19685</wp:posOffset>
            </wp:positionH>
            <wp:positionV relativeFrom="paragraph">
              <wp:posOffset>67945</wp:posOffset>
            </wp:positionV>
            <wp:extent cx="275590" cy="277495"/>
            <wp:effectExtent l="0" t="0" r="3810" b="1905"/>
            <wp:wrapNone/>
            <wp:docPr id="1021" name="图片 20" descr="D:\解码\4x\资源 3@47.png资源 3@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D:\解码\4x\资源 3@47.png资源 3@47"/>
                    <pic:cNvPicPr>
                      <a:picLocks noChangeAspect="1"/>
                    </pic:cNvPicPr>
                  </pic:nvPicPr>
                  <pic:blipFill>
                    <a:blip r:embed="rId13"/>
                    <a:srcRect/>
                    <a:stretch>
                      <a:fillRect/>
                    </a:stretch>
                  </pic:blipFill>
                  <pic:spPr>
                    <a:xfrm>
                      <a:off x="0" y="0"/>
                      <a:ext cx="275590" cy="277495"/>
                    </a:xfrm>
                    <a:prstGeom prst="rect">
                      <a:avLst/>
                    </a:prstGeom>
                  </pic:spPr>
                </pic:pic>
              </a:graphicData>
            </a:graphic>
          </wp:anchor>
        </w:drawing>
      </w:r>
      <w:r>
        <w:rPr>
          <w:rFonts w:hAnsi="等线" w:cs="Arial"/>
          <w:b/>
          <w:bCs/>
          <w:color w:val="4472C4"/>
          <w:sz w:val="28"/>
          <w:szCs w:val="28"/>
        </w:rPr>
        <w:t>具有</w:t>
      </w:r>
      <w:r>
        <w:rPr>
          <w:rFonts w:hint="eastAsia" w:hAnsi="等线" w:cs="Arial"/>
          <w:b/>
          <w:bCs/>
          <w:color w:val="4472C4"/>
          <w:sz w:val="28"/>
          <w:szCs w:val="28"/>
        </w:rPr>
        <w:t>潜在</w:t>
      </w:r>
      <w:r>
        <w:rPr>
          <w:rFonts w:hAnsi="等线" w:cs="Arial"/>
          <w:b/>
          <w:bCs/>
          <w:color w:val="4472C4"/>
          <w:sz w:val="28"/>
          <w:szCs w:val="28"/>
        </w:rPr>
        <w:t>临床意义的基因变异</w:t>
      </w:r>
      <w:r>
        <w:rPr>
          <w:rFonts w:hint="eastAsia" w:hAnsi="等线" w:cs="Arial"/>
          <w:b/>
          <w:bCs/>
          <w:color w:val="4472C4"/>
          <w:sz w:val="28"/>
          <w:szCs w:val="28"/>
        </w:rPr>
        <w:t>【Ⅱ类】</w:t>
      </w:r>
    </w:p>
    <w:tbl>
      <w:tblPr>
        <w:tblStyle w:val="58"/>
        <w:tblW w:w="9989" w:type="dxa"/>
        <w:tblInd w:w="0" w:type="dxa"/>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Layout w:type="fixed"/>
        <w:tblCellMar>
          <w:top w:w="0" w:type="dxa"/>
          <w:left w:w="108" w:type="dxa"/>
          <w:bottom w:w="0" w:type="dxa"/>
          <w:right w:w="108" w:type="dxa"/>
        </w:tblCellMar>
      </w:tblPr>
      <w:tblGrid>
        <w:gridCol w:w="1058"/>
        <w:gridCol w:w="1281"/>
        <w:gridCol w:w="1664"/>
        <w:gridCol w:w="1601"/>
        <w:gridCol w:w="1330"/>
        <w:gridCol w:w="1270"/>
        <w:gridCol w:w="1785"/>
      </w:tblGrid>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595" w:hRule="atLeast"/>
        </w:trPr>
        <w:tc>
          <w:tcPr>
            <w:tcW w:w="1058"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kern w:val="0"/>
                <w:szCs w:val="21"/>
              </w:rPr>
              <w:br w:type="page"/>
            </w:r>
            <w:r>
              <w:rPr>
                <w:rFonts w:hAnsi="等线" w:cs="Arial"/>
                <w:b/>
                <w:bCs/>
                <w:color w:val="FFFFFF"/>
                <w:szCs w:val="21"/>
              </w:rPr>
              <w:t>基因</w:t>
            </w:r>
          </w:p>
        </w:tc>
        <w:tc>
          <w:tcPr>
            <w:tcW w:w="1281"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转录本编号</w:t>
            </w:r>
          </w:p>
        </w:tc>
        <w:tc>
          <w:tcPr>
            <w:tcW w:w="1664"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核苷酸变化</w:t>
            </w:r>
          </w:p>
        </w:tc>
        <w:tc>
          <w:tcPr>
            <w:tcW w:w="1601"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氨基酸变化</w:t>
            </w:r>
          </w:p>
        </w:tc>
        <w:tc>
          <w:tcPr>
            <w:tcW w:w="1330"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外显子位置</w:t>
            </w:r>
          </w:p>
        </w:tc>
        <w:tc>
          <w:tcPr>
            <w:tcW w:w="1270"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变异类型</w:t>
            </w:r>
          </w:p>
        </w:tc>
        <w:tc>
          <w:tcPr>
            <w:tcW w:w="1785" w:type="dxa"/>
            <w:tcBorders>
              <w:insideV w:val="nil"/>
              <w:tl2br w:val="nil"/>
              <w:tr2bl w:val="nil"/>
            </w:tcBorders>
            <w:shd w:val="clear" w:color="auto" w:fill="4472C4"/>
            <w:vAlign w:val="center"/>
          </w:tcPr>
          <w:p>
            <w:pPr>
              <w:widowControl/>
              <w:spacing w:line="360" w:lineRule="auto"/>
              <w:ind w:left="-105" w:leftChars="-50" w:right="-105" w:rightChars="-50"/>
              <w:jc w:val="center"/>
              <w:rPr>
                <w:rFonts w:hAnsi="等线" w:cs="Arial"/>
                <w:b/>
                <w:bCs/>
                <w:color w:val="FFFFFF"/>
                <w:szCs w:val="21"/>
              </w:rPr>
            </w:pPr>
            <w:r>
              <w:rPr>
                <w:rFonts w:hAnsi="等线" w:cs="Arial"/>
                <w:b/>
                <w:bCs/>
                <w:color w:val="FFFFFF"/>
                <w:szCs w:val="21"/>
              </w:rPr>
              <w:t>突变</w:t>
            </w:r>
            <w:r>
              <w:rPr>
                <w:rFonts w:hint="eastAsia" w:hAnsi="等线" w:cs="Arial"/>
                <w:b/>
                <w:bCs/>
                <w:color w:val="FFFFFF"/>
                <w:szCs w:val="21"/>
              </w:rPr>
              <w:t>丰度</w:t>
            </w:r>
            <w:r>
              <w:rPr>
                <w:rFonts w:hAnsi="等线" w:cs="Arial"/>
                <w:b/>
                <w:bCs/>
                <w:color w:val="FFFFFF"/>
                <w:szCs w:val="21"/>
              </w:rPr>
              <w:t>/拷贝数</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6" w:hRule="atLeast"/>
        </w:trPr>
        <w:tc>
          <w:tcPr>
            <w:tcW w:w="1058" w:type="dxa"/>
            <w:tcBorders>
              <w:tl2br w:val="nil"/>
              <w:tr2bl w:val="nil"/>
            </w:tcBorders>
            <w:shd w:val="clear" w:color="auto" w:fill="F2F2F2"/>
            <w:vAlign w:val="center"/>
          </w:tcPr>
          <w:p>
            <w:pPr>
              <w:spacing w:line="360" w:lineRule="auto"/>
              <w:jc w:val="center"/>
              <w:rPr>
                <w:rFonts w:hint="eastAsia" w:hAnsi="等线" w:cs="等线"/>
                <w:b/>
                <w:bCs/>
                <w:color w:val="404040"/>
                <w:sz w:val="20"/>
                <w:szCs w:val="20"/>
                <w:lang w:bidi="ar"/>
              </w:rPr>
            </w:pPr>
            <w:r>
              <w:rPr>
                <w:rFonts w:hint="eastAsia" w:hAnsi="等线" w:cs="等线"/>
                <w:b/>
                <w:bCs/>
                <w:color w:val="404040"/>
                <w:sz w:val="20"/>
                <w:szCs w:val="20"/>
                <w:lang w:bidi="ar"/>
              </w:rPr>
              <w:t xml:space="preserve">KRAS</w:t>
            </w:r>
          </w:p>
        </w:tc>
        <w:tc>
          <w:tcPr>
            <w:tcW w:w="1281" w:type="dxa"/>
            <w:tcBorders>
              <w:tl2br w:val="nil"/>
              <w:tr2bl w:val="nil"/>
            </w:tcBorders>
            <w:shd w:val="clear" w:color="auto" w:fill="F2F2F2"/>
            <w:textDirection w:val="lrTbV"/>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NM_004985</w:t>
            </w:r>
          </w:p>
        </w:tc>
        <w:tc>
          <w:tcPr>
            <w:tcW w:w="1664"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c.35G&gt;T</w:t>
            </w:r>
          </w:p>
        </w:tc>
        <w:tc>
          <w:tcPr>
            <w:tcW w:w="1601"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p.G12V</w:t>
            </w:r>
          </w:p>
        </w:tc>
        <w:tc>
          <w:tcPr>
            <w:tcW w:w="1330" w:type="dxa"/>
            <w:tcBorders>
              <w:tl2br w:val="nil"/>
              <w:tr2bl w:val="nil"/>
            </w:tcBorders>
            <w:shd w:val="clear" w:color="auto" w:fill="F2F2F2"/>
            <w:textDirection w:val="lrTbV"/>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exon2</w:t>
            </w:r>
          </w:p>
        </w:tc>
        <w:tc>
          <w:tcPr>
            <w:tcW w:w="1270"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错义突变</w:t>
            </w:r>
          </w:p>
        </w:tc>
        <w:tc>
          <w:tcPr>
            <w:tcW w:w="1785"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22.18%</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6" w:hRule="atLeast"/>
        </w:trPr>
        <w:tc>
          <w:tcPr>
            <w:tcW w:w="1058" w:type="dxa"/>
            <w:tcBorders>
              <w:tl2br w:val="nil"/>
              <w:tr2bl w:val="nil"/>
            </w:tcBorders>
            <w:shd w:val="clear" w:color="auto" w:fill="F2F2F2"/>
            <w:vAlign w:val="center"/>
          </w:tcPr>
          <w:p>
            <w:pPr>
              <w:spacing w:line="360" w:lineRule="auto"/>
              <w:jc w:val="center"/>
              <w:rPr>
                <w:rFonts w:hint="eastAsia" w:hAnsi="等线" w:cs="等线"/>
                <w:b/>
                <w:bCs/>
                <w:color w:val="404040"/>
                <w:sz w:val="20"/>
                <w:szCs w:val="20"/>
                <w:lang w:bidi="ar"/>
              </w:rPr>
            </w:pPr>
            <w:r>
              <w:rPr>
                <w:rFonts w:hint="eastAsia" w:hAnsi="等线" w:cs="等线"/>
                <w:b/>
                <w:bCs/>
                <w:color w:val="404040"/>
                <w:sz w:val="20"/>
                <w:szCs w:val="20"/>
                <w:lang w:bidi="ar"/>
              </w:rPr>
              <w:t xml:space="preserve">PIK3CA</w:t>
            </w:r>
          </w:p>
        </w:tc>
        <w:tc>
          <w:tcPr>
            <w:tcW w:w="1281" w:type="dxa"/>
            <w:tcBorders>
              <w:tl2br w:val="nil"/>
              <w:tr2bl w:val="nil"/>
            </w:tcBorders>
            <w:shd w:val="clear" w:color="auto" w:fill="F2F2F2"/>
            <w:textDirection w:val="lrTbV"/>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NM_006218</w:t>
            </w:r>
          </w:p>
        </w:tc>
        <w:tc>
          <w:tcPr>
            <w:tcW w:w="1664"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c.1636C&gt;A</w:t>
            </w:r>
          </w:p>
        </w:tc>
        <w:tc>
          <w:tcPr>
            <w:tcW w:w="1601"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p.Q546K</w:t>
            </w:r>
          </w:p>
        </w:tc>
        <w:tc>
          <w:tcPr>
            <w:tcW w:w="1330" w:type="dxa"/>
            <w:tcBorders>
              <w:tl2br w:val="nil"/>
              <w:tr2bl w:val="nil"/>
            </w:tcBorders>
            <w:shd w:val="clear" w:color="auto" w:fill="F2F2F2"/>
            <w:textDirection w:val="lrTbV"/>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exon10</w:t>
            </w:r>
          </w:p>
        </w:tc>
        <w:tc>
          <w:tcPr>
            <w:tcW w:w="1270"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错义突变</w:t>
            </w:r>
          </w:p>
        </w:tc>
        <w:tc>
          <w:tcPr>
            <w:tcW w:w="1785"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2.4%</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6" w:hRule="atLeast"/>
        </w:trPr>
        <w:tc>
          <w:tcPr>
            <w:tcW w:w="1058" w:type="dxa"/>
            <w:tcBorders>
              <w:tl2br w:val="nil"/>
              <w:tr2bl w:val="nil"/>
            </w:tcBorders>
            <w:shd w:val="clear" w:color="auto" w:fill="F2F2F2"/>
            <w:vAlign w:val="center"/>
          </w:tcPr>
          <w:p>
            <w:pPr>
              <w:spacing w:line="360" w:lineRule="auto"/>
              <w:jc w:val="center"/>
              <w:rPr>
                <w:rFonts w:hint="eastAsia" w:hAnsi="等线" w:cs="等线"/>
                <w:b/>
                <w:bCs/>
                <w:color w:val="404040"/>
                <w:sz w:val="20"/>
                <w:szCs w:val="20"/>
                <w:lang w:bidi="ar"/>
              </w:rPr>
            </w:pPr>
            <w:r>
              <w:rPr>
                <w:rFonts w:hint="eastAsia" w:hAnsi="等线" w:cs="等线"/>
                <w:b/>
                <w:bCs/>
                <w:color w:val="404040"/>
                <w:sz w:val="20"/>
                <w:szCs w:val="20"/>
                <w:lang w:bidi="ar"/>
              </w:rPr>
              <w:t xml:space="preserve">TP53</w:t>
            </w:r>
          </w:p>
        </w:tc>
        <w:tc>
          <w:tcPr>
            <w:tcW w:w="1281" w:type="dxa"/>
            <w:tcBorders>
              <w:tl2br w:val="nil"/>
              <w:tr2bl w:val="nil"/>
            </w:tcBorders>
            <w:shd w:val="clear" w:color="auto" w:fill="F2F2F2"/>
            <w:textDirection w:val="lrTbV"/>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NM_000546</w:t>
            </w:r>
          </w:p>
        </w:tc>
        <w:tc>
          <w:tcPr>
            <w:tcW w:w="1664"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c.216dupC</w:t>
            </w:r>
          </w:p>
        </w:tc>
        <w:tc>
          <w:tcPr>
            <w:tcW w:w="1601"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p.V73Rfs*76</w:t>
            </w:r>
          </w:p>
        </w:tc>
        <w:tc>
          <w:tcPr>
            <w:tcW w:w="1330" w:type="dxa"/>
            <w:tcBorders>
              <w:tl2br w:val="nil"/>
              <w:tr2bl w:val="nil"/>
            </w:tcBorders>
            <w:shd w:val="clear" w:color="auto" w:fill="F2F2F2"/>
            <w:textDirection w:val="lrTbV"/>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exon4</w:t>
            </w:r>
          </w:p>
        </w:tc>
        <w:tc>
          <w:tcPr>
            <w:tcW w:w="1270"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移码突变</w:t>
            </w:r>
          </w:p>
        </w:tc>
        <w:tc>
          <w:tcPr>
            <w:tcW w:w="1785"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27.53%</w:t>
            </w:r>
          </w:p>
        </w:tc>
      </w:tr>
    </w:tbl>
    <w:p>
      <w:pPr>
        <w:adjustRightInd w:val="0"/>
        <w:snapToGrid w:val="0"/>
        <w:jc w:val="left"/>
        <w:rPr>
          <w:rFonts w:hAnsi="等线" w:cs="Arial"/>
          <w:b/>
          <w:color w:val="000000"/>
          <w:szCs w:val="21"/>
          <w:u w:val="single"/>
          <w14:textFill>
            <w14:solidFill>
              <w14:srgbClr w14:val="000000">
                <w14:lumMod w14:val="85000"/>
                <w14:lumOff w14:val="15000"/>
              </w14:srgbClr>
            </w14:solidFill>
          </w14:textFill>
        </w:rPr>
      </w:pPr>
    </w:p>
    <w:p>
      <w:pPr>
        <w:adjustRightInd w:val="0"/>
        <w:snapToGrid w:val="0"/>
        <w:jc w:val="left"/>
        <w:rPr>
          <w:rFonts w:hAnsi="等线" w:cs="Arial"/>
          <w:b/>
          <w:color w:val="000000"/>
          <w:szCs w:val="21"/>
          <w:u w:val="single"/>
          <w14:textFill>
            <w14:solidFill>
              <w14:srgbClr w14:val="000000">
                <w14:lumMod w14:val="85000"/>
                <w14:lumOff w14:val="15000"/>
              </w14:srgbClr>
            </w14:solidFill>
          </w14:textFill>
        </w:rPr>
      </w:pPr>
    </w:p>
    <w:p>
      <w:pPr>
        <w:spacing w:line="360" w:lineRule="auto"/>
        <w:ind w:firstLine="560" w:firstLineChars="200"/>
        <w:jc w:val="left"/>
        <w:outlineLvl w:val="2"/>
        <w:rPr>
          <w:rFonts w:hAnsi="等线" w:cs="Arial"/>
          <w:b/>
          <w:bCs/>
          <w:color w:val="4472C4"/>
          <w:sz w:val="28"/>
          <w:szCs w:val="28"/>
        </w:rPr>
      </w:pPr>
      <w:bookmarkStart w:id="44" w:name="临床意义未明的基因变异"/>
      <w:bookmarkEnd w:id="44"/>
      <w:bookmarkStart w:id="45" w:name="_Toc45207815"/>
      <w:bookmarkStart w:id="46" w:name="_Toc89103149"/>
      <w:r>
        <w:rPr>
          <w:rFonts w:hAnsi="等线" w:cs="Arial"/>
          <w:b/>
          <w:bCs/>
          <w:color w:val="4472C4"/>
          <w:sz w:val="28"/>
          <w:szCs w:val="28"/>
        </w:rPr>
        <w:drawing>
          <wp:anchor distT="0" distB="0" distL="114300" distR="114300" simplePos="0" relativeHeight="251684864" behindDoc="0" locked="0" layoutInCell="1" allowOverlap="1">
            <wp:simplePos x="0" y="0"/>
            <wp:positionH relativeFrom="column">
              <wp:posOffset>22860</wp:posOffset>
            </wp:positionH>
            <wp:positionV relativeFrom="paragraph">
              <wp:posOffset>41910</wp:posOffset>
            </wp:positionV>
            <wp:extent cx="275590" cy="277495"/>
            <wp:effectExtent l="0" t="0" r="3810" b="1905"/>
            <wp:wrapNone/>
            <wp:docPr id="1022" name="图片 72" descr="D:\解码\4x\资源 3@47.png资源 3@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descr="D:\解码\4x\资源 3@47.png资源 3@47"/>
                    <pic:cNvPicPr>
                      <a:picLocks noChangeAspect="1"/>
                    </pic:cNvPicPr>
                  </pic:nvPicPr>
                  <pic:blipFill>
                    <a:blip r:embed="rId13"/>
                    <a:srcRect/>
                    <a:stretch>
                      <a:fillRect/>
                    </a:stretch>
                  </pic:blipFill>
                  <pic:spPr>
                    <a:xfrm>
                      <a:off x="0" y="0"/>
                      <a:ext cx="275590" cy="277495"/>
                    </a:xfrm>
                    <a:prstGeom prst="rect">
                      <a:avLst/>
                    </a:prstGeom>
                  </pic:spPr>
                </pic:pic>
              </a:graphicData>
            </a:graphic>
          </wp:anchor>
        </w:drawing>
      </w:r>
      <w:r>
        <w:rPr>
          <w:rFonts w:hAnsi="等线" w:cs="Arial"/>
          <w:b/>
          <w:bCs/>
          <w:color w:val="4472C4"/>
          <w:sz w:val="28"/>
          <w:szCs w:val="28"/>
        </w:rPr>
        <w:t>临床意义未明的基因变异</w:t>
      </w:r>
      <w:bookmarkEnd w:id="45"/>
      <w:bookmarkEnd w:id="46"/>
      <w:r>
        <w:rPr>
          <w:rFonts w:hint="eastAsia" w:hAnsi="等线" w:cs="Arial"/>
          <w:b/>
          <w:bCs/>
          <w:color w:val="4472C4"/>
          <w:sz w:val="28"/>
          <w:szCs w:val="28"/>
        </w:rPr>
        <w:t>【Ⅲ类】</w:t>
      </w:r>
    </w:p>
    <w:tbl>
      <w:tblPr>
        <w:tblStyle w:val="58"/>
        <w:tblW w:w="9989" w:type="dxa"/>
        <w:tblInd w:w="0" w:type="dxa"/>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Layout w:type="fixed"/>
        <w:tblCellMar>
          <w:top w:w="0" w:type="dxa"/>
          <w:left w:w="108" w:type="dxa"/>
          <w:bottom w:w="0" w:type="dxa"/>
          <w:right w:w="108" w:type="dxa"/>
        </w:tblCellMar>
      </w:tblPr>
      <w:tblGrid>
        <w:gridCol w:w="1058"/>
        <w:gridCol w:w="1281"/>
        <w:gridCol w:w="1664"/>
        <w:gridCol w:w="1601"/>
        <w:gridCol w:w="1330"/>
        <w:gridCol w:w="1270"/>
        <w:gridCol w:w="1785"/>
      </w:tblGrid>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595" w:hRule="atLeast"/>
        </w:trPr>
        <w:tc>
          <w:tcPr>
            <w:tcW w:w="1058"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kern w:val="0"/>
                <w:szCs w:val="21"/>
              </w:rPr>
              <w:br w:type="page"/>
            </w:r>
            <w:r>
              <w:rPr>
                <w:rFonts w:hAnsi="等线" w:cs="Arial"/>
                <w:b/>
                <w:bCs/>
                <w:color w:val="FFFFFF"/>
                <w:szCs w:val="21"/>
              </w:rPr>
              <w:t>基因</w:t>
            </w:r>
          </w:p>
        </w:tc>
        <w:tc>
          <w:tcPr>
            <w:tcW w:w="1281"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转录本编号</w:t>
            </w:r>
          </w:p>
        </w:tc>
        <w:tc>
          <w:tcPr>
            <w:tcW w:w="1664"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核苷酸变化</w:t>
            </w:r>
          </w:p>
        </w:tc>
        <w:tc>
          <w:tcPr>
            <w:tcW w:w="1601"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氨基酸变化</w:t>
            </w:r>
          </w:p>
        </w:tc>
        <w:tc>
          <w:tcPr>
            <w:tcW w:w="1330"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外显子位置</w:t>
            </w:r>
          </w:p>
        </w:tc>
        <w:tc>
          <w:tcPr>
            <w:tcW w:w="1270"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变异类型</w:t>
            </w:r>
          </w:p>
        </w:tc>
        <w:tc>
          <w:tcPr>
            <w:tcW w:w="1785" w:type="dxa"/>
            <w:tcBorders>
              <w:insideV w:val="nil"/>
              <w:tl2br w:val="nil"/>
              <w:tr2bl w:val="nil"/>
            </w:tcBorders>
            <w:shd w:val="clear" w:color="auto" w:fill="4472C4"/>
            <w:vAlign w:val="center"/>
          </w:tcPr>
          <w:p>
            <w:pPr>
              <w:widowControl/>
              <w:spacing w:line="360" w:lineRule="auto"/>
              <w:ind w:left="-105" w:leftChars="-50" w:right="-105" w:rightChars="-50"/>
              <w:jc w:val="center"/>
              <w:rPr>
                <w:rFonts w:hAnsi="等线" w:cs="Arial"/>
                <w:b/>
                <w:bCs/>
                <w:color w:val="FFFFFF"/>
                <w:szCs w:val="21"/>
              </w:rPr>
            </w:pPr>
            <w:r>
              <w:rPr>
                <w:rFonts w:hAnsi="等线" w:cs="Arial"/>
                <w:b/>
                <w:bCs/>
                <w:color w:val="FFFFFF"/>
                <w:szCs w:val="21"/>
              </w:rPr>
              <w:t>突变</w:t>
            </w:r>
            <w:r>
              <w:rPr>
                <w:rFonts w:hint="eastAsia" w:hAnsi="等线" w:cs="Arial"/>
                <w:b/>
                <w:bCs/>
                <w:color w:val="FFFFFF"/>
                <w:szCs w:val="21"/>
              </w:rPr>
              <w:t>丰度</w:t>
            </w:r>
            <w:r>
              <w:rPr>
                <w:rFonts w:hAnsi="等线" w:cs="Arial"/>
                <w:b/>
                <w:bCs/>
                <w:color w:val="FFFFFF"/>
                <w:szCs w:val="21"/>
              </w:rPr>
              <w:t>/拷贝数</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6" w:hRule="atLeast"/>
        </w:trPr>
        <w:tc>
          <w:tcPr>
            <w:tcW w:w="1058" w:type="dxa"/>
            <w:tcBorders>
              <w:tl2br w:val="nil"/>
              <w:tr2bl w:val="nil"/>
            </w:tcBorders>
            <w:shd w:val="clear" w:color="auto" w:fill="F2F2F2"/>
            <w:vAlign w:val="center"/>
          </w:tcPr>
          <w:p>
            <w:pPr>
              <w:spacing w:line="360" w:lineRule="auto"/>
              <w:jc w:val="center"/>
              <w:rPr>
                <w:rFonts w:hint="eastAsia" w:hAnsi="等线" w:cs="等线"/>
                <w:b/>
                <w:bCs/>
                <w:color w:val="404040"/>
                <w:sz w:val="20"/>
                <w:szCs w:val="20"/>
                <w:lang w:bidi="ar"/>
              </w:rPr>
            </w:pPr>
            <w:r>
              <w:rPr>
                <w:rFonts w:hint="eastAsia" w:hAnsi="等线" w:cs="等线"/>
                <w:b/>
                <w:bCs/>
                <w:color w:val="404040"/>
                <w:sz w:val="20"/>
                <w:szCs w:val="20"/>
                <w:lang w:bidi="ar"/>
              </w:rPr>
              <w:t xml:space="preserve">APC</w:t>
            </w:r>
          </w:p>
        </w:tc>
        <w:tc>
          <w:tcPr>
            <w:tcW w:w="1281" w:type="dxa"/>
            <w:tcBorders>
              <w:tl2br w:val="nil"/>
              <w:tr2bl w:val="nil"/>
            </w:tcBorders>
            <w:shd w:val="clear" w:color="auto" w:fill="F2F2F2"/>
            <w:textDirection w:val="lrTbV"/>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NM_000038</w:t>
            </w:r>
          </w:p>
        </w:tc>
        <w:tc>
          <w:tcPr>
            <w:tcW w:w="1664"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c.4156A&gt;T</w:t>
            </w:r>
          </w:p>
        </w:tc>
        <w:tc>
          <w:tcPr>
            <w:tcW w:w="1601"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p.R1386X</w:t>
            </w:r>
          </w:p>
        </w:tc>
        <w:tc>
          <w:tcPr>
            <w:tcW w:w="1330" w:type="dxa"/>
            <w:tcBorders>
              <w:tl2br w:val="nil"/>
              <w:tr2bl w:val="nil"/>
            </w:tcBorders>
            <w:shd w:val="clear" w:color="auto" w:fill="F2F2F2"/>
            <w:textDirection w:val="lrTbV"/>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exon16</w:t>
            </w:r>
          </w:p>
        </w:tc>
        <w:tc>
          <w:tcPr>
            <w:tcW w:w="1270"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提前终止</w:t>
            </w:r>
          </w:p>
        </w:tc>
        <w:tc>
          <w:tcPr>
            <w:tcW w:w="1785"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26.4%</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6" w:hRule="atLeast"/>
        </w:trPr>
        <w:tc>
          <w:tcPr>
            <w:tcW w:w="1058" w:type="dxa"/>
            <w:tcBorders>
              <w:tl2br w:val="nil"/>
              <w:tr2bl w:val="nil"/>
            </w:tcBorders>
            <w:shd w:val="clear" w:color="auto" w:fill="F2F2F2"/>
            <w:vAlign w:val="center"/>
          </w:tcPr>
          <w:p>
            <w:pPr>
              <w:spacing w:line="360" w:lineRule="auto"/>
              <w:jc w:val="center"/>
              <w:rPr>
                <w:rFonts w:hint="eastAsia" w:hAnsi="等线" w:cs="等线"/>
                <w:b/>
                <w:bCs/>
                <w:color w:val="404040"/>
                <w:sz w:val="20"/>
                <w:szCs w:val="20"/>
                <w:lang w:bidi="ar"/>
              </w:rPr>
            </w:pPr>
            <w:r>
              <w:rPr>
                <w:rFonts w:hint="eastAsia" w:hAnsi="等线" w:cs="等线"/>
                <w:b/>
                <w:bCs/>
                <w:color w:val="404040"/>
                <w:sz w:val="20"/>
                <w:szCs w:val="20"/>
                <w:lang w:bidi="ar"/>
              </w:rPr>
              <w:t xml:space="preserve">EGFR</w:t>
            </w:r>
          </w:p>
        </w:tc>
        <w:tc>
          <w:tcPr>
            <w:tcW w:w="1281" w:type="dxa"/>
            <w:tcBorders>
              <w:tl2br w:val="nil"/>
              <w:tr2bl w:val="nil"/>
            </w:tcBorders>
            <w:shd w:val="clear" w:color="auto" w:fill="F2F2F2"/>
            <w:textDirection w:val="lrTbV"/>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NM_005228</w:t>
            </w:r>
          </w:p>
        </w:tc>
        <w:tc>
          <w:tcPr>
            <w:tcW w:w="1664"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c.1352G&gt;A</w:t>
            </w:r>
          </w:p>
        </w:tc>
        <w:tc>
          <w:tcPr>
            <w:tcW w:w="1601"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p.R451H</w:t>
            </w:r>
          </w:p>
        </w:tc>
        <w:tc>
          <w:tcPr>
            <w:tcW w:w="1330" w:type="dxa"/>
            <w:tcBorders>
              <w:tl2br w:val="nil"/>
              <w:tr2bl w:val="nil"/>
            </w:tcBorders>
            <w:shd w:val="clear" w:color="auto" w:fill="F2F2F2"/>
            <w:textDirection w:val="lrTbV"/>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exon12</w:t>
            </w:r>
          </w:p>
        </w:tc>
        <w:tc>
          <w:tcPr>
            <w:tcW w:w="1270"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错义突变</w:t>
            </w:r>
          </w:p>
        </w:tc>
        <w:tc>
          <w:tcPr>
            <w:tcW w:w="1785"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1.33%</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6" w:hRule="atLeast"/>
        </w:trPr>
        <w:tc>
          <w:tcPr>
            <w:tcW w:w="1058" w:type="dxa"/>
            <w:tcBorders>
              <w:tl2br w:val="nil"/>
              <w:tr2bl w:val="nil"/>
            </w:tcBorders>
            <w:shd w:val="clear" w:color="auto" w:fill="F2F2F2"/>
            <w:vAlign w:val="center"/>
          </w:tcPr>
          <w:p>
            <w:pPr>
              <w:spacing w:line="360" w:lineRule="auto"/>
              <w:jc w:val="center"/>
              <w:rPr>
                <w:rFonts w:hint="eastAsia" w:hAnsi="等线" w:cs="等线"/>
                <w:b/>
                <w:bCs/>
                <w:color w:val="404040"/>
                <w:sz w:val="20"/>
                <w:szCs w:val="20"/>
                <w:lang w:bidi="ar"/>
              </w:rPr>
            </w:pPr>
            <w:r>
              <w:rPr>
                <w:rFonts w:hint="eastAsia" w:hAnsi="等线" w:cs="等线"/>
                <w:b/>
                <w:bCs/>
                <w:color w:val="404040"/>
                <w:sz w:val="20"/>
                <w:szCs w:val="20"/>
                <w:lang w:bidi="ar"/>
              </w:rPr>
              <w:t xml:space="preserve">EGFR</w:t>
            </w:r>
          </w:p>
        </w:tc>
        <w:tc>
          <w:tcPr>
            <w:tcW w:w="1281" w:type="dxa"/>
            <w:tcBorders>
              <w:tl2br w:val="nil"/>
              <w:tr2bl w:val="nil"/>
            </w:tcBorders>
            <w:shd w:val="clear" w:color="auto" w:fill="F2F2F2"/>
            <w:textDirection w:val="lrTbV"/>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NM_005228</w:t>
            </w:r>
          </w:p>
        </w:tc>
        <w:tc>
          <w:tcPr>
            <w:tcW w:w="1664"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c.1994G&gt;A</w:t>
            </w:r>
          </w:p>
        </w:tc>
        <w:tc>
          <w:tcPr>
            <w:tcW w:w="1601"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p.G665D</w:t>
            </w:r>
          </w:p>
        </w:tc>
        <w:tc>
          <w:tcPr>
            <w:tcW w:w="1330" w:type="dxa"/>
            <w:tcBorders>
              <w:tl2br w:val="nil"/>
              <w:tr2bl w:val="nil"/>
            </w:tcBorders>
            <w:shd w:val="clear" w:color="auto" w:fill="F2F2F2"/>
            <w:textDirection w:val="lrTbV"/>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exon17</w:t>
            </w:r>
          </w:p>
        </w:tc>
        <w:tc>
          <w:tcPr>
            <w:tcW w:w="1270"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错义突变</w:t>
            </w:r>
          </w:p>
        </w:tc>
        <w:tc>
          <w:tcPr>
            <w:tcW w:w="1785"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1.01%</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6" w:hRule="atLeast"/>
        </w:trPr>
        <w:tc>
          <w:tcPr>
            <w:tcW w:w="1058" w:type="dxa"/>
            <w:tcBorders>
              <w:tl2br w:val="nil"/>
              <w:tr2bl w:val="nil"/>
            </w:tcBorders>
            <w:shd w:val="clear" w:color="auto" w:fill="F2F2F2"/>
            <w:vAlign w:val="center"/>
          </w:tcPr>
          <w:p>
            <w:pPr>
              <w:spacing w:line="360" w:lineRule="auto"/>
              <w:jc w:val="center"/>
              <w:rPr>
                <w:rFonts w:hint="eastAsia" w:hAnsi="等线" w:cs="等线"/>
                <w:b/>
                <w:bCs/>
                <w:color w:val="404040"/>
                <w:sz w:val="20"/>
                <w:szCs w:val="20"/>
                <w:lang w:bidi="ar"/>
              </w:rPr>
            </w:pPr>
            <w:r>
              <w:rPr>
                <w:rFonts w:hint="eastAsia" w:hAnsi="等线" w:cs="等线"/>
                <w:b/>
                <w:bCs/>
                <w:color w:val="404040"/>
                <w:sz w:val="20"/>
                <w:szCs w:val="20"/>
                <w:lang w:bidi="ar"/>
              </w:rPr>
              <w:t xml:space="preserve">EGFR</w:t>
            </w:r>
          </w:p>
        </w:tc>
        <w:tc>
          <w:tcPr>
            <w:tcW w:w="1281" w:type="dxa"/>
            <w:tcBorders>
              <w:tl2br w:val="nil"/>
              <w:tr2bl w:val="nil"/>
            </w:tcBorders>
            <w:shd w:val="clear" w:color="auto" w:fill="F2F2F2"/>
            <w:textDirection w:val="lrTbV"/>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NM_005228</w:t>
            </w:r>
          </w:p>
        </w:tc>
        <w:tc>
          <w:tcPr>
            <w:tcW w:w="1664"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c.3508C&gt;T</w:t>
            </w:r>
          </w:p>
        </w:tc>
        <w:tc>
          <w:tcPr>
            <w:tcW w:w="1601"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p.P1170S</w:t>
            </w:r>
          </w:p>
        </w:tc>
        <w:tc>
          <w:tcPr>
            <w:tcW w:w="1330" w:type="dxa"/>
            <w:tcBorders>
              <w:tl2br w:val="nil"/>
              <w:tr2bl w:val="nil"/>
            </w:tcBorders>
            <w:shd w:val="clear" w:color="auto" w:fill="F2F2F2"/>
            <w:textDirection w:val="lrTbV"/>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exon28</w:t>
            </w:r>
          </w:p>
        </w:tc>
        <w:tc>
          <w:tcPr>
            <w:tcW w:w="1270"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错义突变</w:t>
            </w:r>
          </w:p>
        </w:tc>
        <w:tc>
          <w:tcPr>
            <w:tcW w:w="1785"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1.37%</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6" w:hRule="atLeast"/>
        </w:trPr>
        <w:tc>
          <w:tcPr>
            <w:tcW w:w="1058" w:type="dxa"/>
            <w:tcBorders>
              <w:tl2br w:val="nil"/>
              <w:tr2bl w:val="nil"/>
            </w:tcBorders>
            <w:shd w:val="clear" w:color="auto" w:fill="F2F2F2"/>
            <w:vAlign w:val="center"/>
          </w:tcPr>
          <w:p>
            <w:pPr>
              <w:spacing w:line="360" w:lineRule="auto"/>
              <w:jc w:val="center"/>
              <w:rPr>
                <w:rFonts w:hint="eastAsia" w:hAnsi="等线" w:cs="等线"/>
                <w:b/>
                <w:bCs/>
                <w:color w:val="404040"/>
                <w:sz w:val="20"/>
                <w:szCs w:val="20"/>
                <w:lang w:bidi="ar"/>
              </w:rPr>
            </w:pPr>
            <w:r>
              <w:rPr>
                <w:rFonts w:hint="eastAsia" w:hAnsi="等线" w:cs="等线"/>
                <w:b/>
                <w:bCs/>
                <w:color w:val="404040"/>
                <w:sz w:val="20"/>
                <w:szCs w:val="20"/>
                <w:lang w:bidi="ar"/>
              </w:rPr>
              <w:t xml:space="preserve">EGFR</w:t>
            </w:r>
          </w:p>
        </w:tc>
        <w:tc>
          <w:tcPr>
            <w:tcW w:w="1281" w:type="dxa"/>
            <w:tcBorders>
              <w:tl2br w:val="nil"/>
              <w:tr2bl w:val="nil"/>
            </w:tcBorders>
            <w:shd w:val="clear" w:color="auto" w:fill="F2F2F2"/>
            <w:textDirection w:val="lrTbV"/>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NM_201283</w:t>
            </w:r>
          </w:p>
        </w:tc>
        <w:tc>
          <w:tcPr>
            <w:tcW w:w="1664"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c.1213A&gt;G</w:t>
            </w:r>
          </w:p>
        </w:tc>
        <w:tc>
          <w:tcPr>
            <w:tcW w:w="1601"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p.S405G</w:t>
            </w:r>
          </w:p>
        </w:tc>
        <w:tc>
          <w:tcPr>
            <w:tcW w:w="1330" w:type="dxa"/>
            <w:tcBorders>
              <w:tl2br w:val="nil"/>
              <w:tr2bl w:val="nil"/>
            </w:tcBorders>
            <w:shd w:val="clear" w:color="auto" w:fill="F2F2F2"/>
            <w:textDirection w:val="lrTbV"/>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exon10</w:t>
            </w:r>
          </w:p>
        </w:tc>
        <w:tc>
          <w:tcPr>
            <w:tcW w:w="1270"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错义突变</w:t>
            </w:r>
          </w:p>
        </w:tc>
        <w:tc>
          <w:tcPr>
            <w:tcW w:w="1785"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1.09%</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6" w:hRule="atLeast"/>
        </w:trPr>
        <w:tc>
          <w:tcPr>
            <w:tcW w:w="1058" w:type="dxa"/>
            <w:tcBorders>
              <w:tl2br w:val="nil"/>
              <w:tr2bl w:val="nil"/>
            </w:tcBorders>
            <w:shd w:val="clear" w:color="auto" w:fill="F2F2F2"/>
            <w:vAlign w:val="center"/>
          </w:tcPr>
          <w:p>
            <w:pPr>
              <w:spacing w:line="360" w:lineRule="auto"/>
              <w:jc w:val="center"/>
              <w:rPr>
                <w:rFonts w:hint="eastAsia" w:hAnsi="等线" w:cs="等线"/>
                <w:b/>
                <w:bCs/>
                <w:color w:val="404040"/>
                <w:sz w:val="20"/>
                <w:szCs w:val="20"/>
                <w:lang w:bidi="ar"/>
              </w:rPr>
            </w:pPr>
            <w:r>
              <w:rPr>
                <w:rFonts w:hint="eastAsia" w:hAnsi="等线" w:cs="等线"/>
                <w:b/>
                <w:bCs/>
                <w:color w:val="404040"/>
                <w:sz w:val="20"/>
                <w:szCs w:val="20"/>
                <w:lang w:bidi="ar"/>
              </w:rPr>
              <w:t xml:space="preserve">FGFR3</w:t>
            </w:r>
          </w:p>
        </w:tc>
        <w:tc>
          <w:tcPr>
            <w:tcW w:w="1281" w:type="dxa"/>
            <w:tcBorders>
              <w:tl2br w:val="nil"/>
              <w:tr2bl w:val="nil"/>
            </w:tcBorders>
            <w:shd w:val="clear" w:color="auto" w:fill="F2F2F2"/>
            <w:textDirection w:val="lrTbV"/>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NM_000142</w:t>
            </w:r>
          </w:p>
        </w:tc>
        <w:tc>
          <w:tcPr>
            <w:tcW w:w="1664"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c.670G&gt;A</w:t>
            </w:r>
          </w:p>
        </w:tc>
        <w:tc>
          <w:tcPr>
            <w:tcW w:w="1601"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p.G224S</w:t>
            </w:r>
          </w:p>
        </w:tc>
        <w:tc>
          <w:tcPr>
            <w:tcW w:w="1330" w:type="dxa"/>
            <w:tcBorders>
              <w:tl2br w:val="nil"/>
              <w:tr2bl w:val="nil"/>
            </w:tcBorders>
            <w:shd w:val="clear" w:color="auto" w:fill="F2F2F2"/>
            <w:textDirection w:val="lrTbV"/>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exon6</w:t>
            </w:r>
          </w:p>
        </w:tc>
        <w:tc>
          <w:tcPr>
            <w:tcW w:w="1270"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错义突变</w:t>
            </w:r>
          </w:p>
        </w:tc>
        <w:tc>
          <w:tcPr>
            <w:tcW w:w="1785"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1.82%</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6" w:hRule="atLeast"/>
        </w:trPr>
        <w:tc>
          <w:tcPr>
            <w:tcW w:w="1058" w:type="dxa"/>
            <w:tcBorders>
              <w:tl2br w:val="nil"/>
              <w:tr2bl w:val="nil"/>
            </w:tcBorders>
            <w:shd w:val="clear" w:color="auto" w:fill="F2F2F2"/>
            <w:vAlign w:val="center"/>
          </w:tcPr>
          <w:p>
            <w:pPr>
              <w:spacing w:line="360" w:lineRule="auto"/>
              <w:jc w:val="center"/>
              <w:rPr>
                <w:rFonts w:hint="eastAsia" w:hAnsi="等线" w:cs="等线"/>
                <w:b/>
                <w:bCs/>
                <w:color w:val="404040"/>
                <w:sz w:val="20"/>
                <w:szCs w:val="20"/>
                <w:lang w:bidi="ar"/>
              </w:rPr>
            </w:pPr>
            <w:r>
              <w:rPr>
                <w:rFonts w:hint="eastAsia" w:hAnsi="等线" w:cs="等线"/>
                <w:b/>
                <w:bCs/>
                <w:color w:val="404040"/>
                <w:sz w:val="20"/>
                <w:szCs w:val="20"/>
                <w:lang w:bidi="ar"/>
              </w:rPr>
              <w:t xml:space="preserve">NF1</w:t>
            </w:r>
          </w:p>
        </w:tc>
        <w:tc>
          <w:tcPr>
            <w:tcW w:w="1281" w:type="dxa"/>
            <w:tcBorders>
              <w:tl2br w:val="nil"/>
              <w:tr2bl w:val="nil"/>
            </w:tcBorders>
            <w:shd w:val="clear" w:color="auto" w:fill="F2F2F2"/>
            <w:textDirection w:val="lrTbV"/>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NM_000267</w:t>
            </w:r>
          </w:p>
        </w:tc>
        <w:tc>
          <w:tcPr>
            <w:tcW w:w="1664"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c.5694G&gt;C</w:t>
            </w:r>
          </w:p>
        </w:tc>
        <w:tc>
          <w:tcPr>
            <w:tcW w:w="1601"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p.E1898D</w:t>
            </w:r>
          </w:p>
        </w:tc>
        <w:tc>
          <w:tcPr>
            <w:tcW w:w="1330" w:type="dxa"/>
            <w:tcBorders>
              <w:tl2br w:val="nil"/>
              <w:tr2bl w:val="nil"/>
            </w:tcBorders>
            <w:shd w:val="clear" w:color="auto" w:fill="F2F2F2"/>
            <w:textDirection w:val="lrTbV"/>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exon38</w:t>
            </w:r>
          </w:p>
        </w:tc>
        <w:tc>
          <w:tcPr>
            <w:tcW w:w="1270"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错义突变</w:t>
            </w:r>
          </w:p>
        </w:tc>
        <w:tc>
          <w:tcPr>
            <w:tcW w:w="1785"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1.07%</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6" w:hRule="atLeast"/>
        </w:trPr>
        <w:tc>
          <w:tcPr>
            <w:tcW w:w="1058" w:type="dxa"/>
            <w:tcBorders>
              <w:tl2br w:val="nil"/>
              <w:tr2bl w:val="nil"/>
            </w:tcBorders>
            <w:shd w:val="clear" w:color="auto" w:fill="F2F2F2"/>
            <w:vAlign w:val="center"/>
          </w:tcPr>
          <w:p>
            <w:pPr>
              <w:spacing w:line="360" w:lineRule="auto"/>
              <w:jc w:val="center"/>
              <w:rPr>
                <w:rFonts w:hint="eastAsia" w:hAnsi="等线" w:cs="等线"/>
                <w:b/>
                <w:bCs/>
                <w:color w:val="404040"/>
                <w:sz w:val="20"/>
                <w:szCs w:val="20"/>
                <w:lang w:bidi="ar"/>
              </w:rPr>
            </w:pPr>
            <w:r>
              <w:rPr>
                <w:rFonts w:hint="eastAsia" w:hAnsi="等线" w:cs="等线"/>
                <w:b/>
                <w:bCs/>
                <w:color w:val="404040"/>
                <w:sz w:val="20"/>
                <w:szCs w:val="20"/>
                <w:lang w:bidi="ar"/>
              </w:rPr>
              <w:t xml:space="preserve">RET</w:t>
            </w:r>
          </w:p>
        </w:tc>
        <w:tc>
          <w:tcPr>
            <w:tcW w:w="1281" w:type="dxa"/>
            <w:tcBorders>
              <w:tl2br w:val="nil"/>
              <w:tr2bl w:val="nil"/>
            </w:tcBorders>
            <w:shd w:val="clear" w:color="auto" w:fill="F2F2F2"/>
            <w:textDirection w:val="lrTbV"/>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NM_020975</w:t>
            </w:r>
          </w:p>
        </w:tc>
        <w:tc>
          <w:tcPr>
            <w:tcW w:w="1664"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c.220G&gt;A</w:t>
            </w:r>
          </w:p>
        </w:tc>
        <w:tc>
          <w:tcPr>
            <w:tcW w:w="1601"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p.G74S</w:t>
            </w:r>
          </w:p>
        </w:tc>
        <w:tc>
          <w:tcPr>
            <w:tcW w:w="1330" w:type="dxa"/>
            <w:tcBorders>
              <w:tl2br w:val="nil"/>
              <w:tr2bl w:val="nil"/>
            </w:tcBorders>
            <w:shd w:val="clear" w:color="auto" w:fill="F2F2F2"/>
            <w:textDirection w:val="lrTbV"/>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exon2</w:t>
            </w:r>
          </w:p>
        </w:tc>
        <w:tc>
          <w:tcPr>
            <w:tcW w:w="1270"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错义突变</w:t>
            </w:r>
          </w:p>
        </w:tc>
        <w:tc>
          <w:tcPr>
            <w:tcW w:w="1785"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1.24%</w:t>
            </w:r>
          </w:p>
        </w:tc>
      </w:tr>
    </w:tbl>
    <w:p>
      <w:pPr>
        <w:snapToGrid w:val="0"/>
        <w:spacing w:line="40" w:lineRule="exact"/>
        <w:jc w:val="left"/>
        <w:rPr>
          <w:rFonts w:hAnsi="等线"/>
          <w:sz w:val="18"/>
          <w:szCs w:val="18"/>
        </w:rPr>
      </w:pPr>
      <w:r>
        <w:rPr>
          <w:rFonts w:hAnsi="等线"/>
          <w:szCs w:val="21"/>
        </w:rPr>
        <w:br w:type="page"/>
      </w:r>
    </w:p>
    <w:p>
      <w:bookmarkStart w:id="47" w:name="基因变异解析"/>
      <w:bookmarkEnd w:id="47"/>
      <w:bookmarkStart w:id="48" w:name="_Toc89103150"/>
      <w:r>
        <mc:AlternateContent>
          <mc:Choice Requires="wpg">
            <w:drawing>
              <wp:anchor distT="0" distB="0" distL="114300" distR="114300" simplePos="0" relativeHeight="251680768" behindDoc="0" locked="0" layoutInCell="1" allowOverlap="1">
                <wp:simplePos x="0" y="0"/>
                <wp:positionH relativeFrom="column">
                  <wp:posOffset>-546100</wp:posOffset>
                </wp:positionH>
                <wp:positionV relativeFrom="paragraph">
                  <wp:posOffset>-121285</wp:posOffset>
                </wp:positionV>
                <wp:extent cx="2188845" cy="1001395"/>
                <wp:effectExtent l="0" t="0" r="8255" b="1905"/>
                <wp:wrapNone/>
                <wp:docPr id="1023" name="组合 1"/>
                <wp:cNvGraphicFramePr/>
                <a:graphic xmlns:a="http://schemas.openxmlformats.org/drawingml/2006/main">
                  <a:graphicData uri="http://schemas.microsoft.com/office/word/2010/wordprocessingGroup">
                    <wpg:wgp>
                      <wpg:cNvGrpSpPr/>
                      <wpg:grpSpPr>
                        <a:xfrm>
                          <a:off x="0" y="0"/>
                          <a:ext cx="2188845" cy="1001395"/>
                          <a:chOff x="0" y="25547"/>
                          <a:chExt cx="2188845" cy="1001395"/>
                        </a:xfrm>
                      </wpg:grpSpPr>
                      <wpg:grpSp>
                        <wpg:cNvPr id="98" name="组合 98"/>
                        <wpg:cNvGrpSpPr/>
                        <wpg:grpSpPr>
                          <a:xfrm>
                            <a:off x="0" y="43962"/>
                            <a:ext cx="2188845" cy="982980"/>
                            <a:chOff x="941" y="183851"/>
                            <a:chExt cx="3447" cy="1548"/>
                          </a:xfrm>
                        </wpg:grpSpPr>
                        <wps:wsp>
                          <wps:cNvPr id="46" name="圆角矩形 21"/>
                          <wps:cNvSpPr/>
                          <wps:spPr>
                            <a:xfrm>
                              <a:off x="1724" y="183851"/>
                              <a:ext cx="2664" cy="677"/>
                            </a:xfrm>
                            <a:prstGeom prst="roundRect">
                              <a:avLst/>
                            </a:prstGeom>
                            <a:solidFill>
                              <a:srgbClr val="4472C4"/>
                            </a:solidFill>
                            <a:ln w="12700" cap="flat" cmpd="sng" algn="ctr">
                              <a:noFill/>
                              <a:prstDash val="solid"/>
                              <a:miter lim="800000"/>
                            </a:ln>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cNvPr id="99" name="组合 42"/>
                          <wpg:cNvGrpSpPr/>
                          <wpg:grpSpPr>
                            <a:xfrm>
                              <a:off x="941" y="184120"/>
                              <a:ext cx="783" cy="1279"/>
                              <a:chOff x="941" y="184120"/>
                              <a:chExt cx="783" cy="1279"/>
                            </a:xfrm>
                          </wpg:grpSpPr>
                          <wps:wsp>
                            <wps:cNvPr id="48" name="直接连接符 38"/>
                            <wps:cNvCnPr/>
                            <wps:spPr>
                              <a:xfrm flipV="1">
                                <a:off x="941" y="184145"/>
                                <a:ext cx="783" cy="3"/>
                              </a:xfrm>
                              <a:prstGeom prst="line">
                                <a:avLst/>
                              </a:prstGeom>
                              <a:solidFill>
                                <a:srgbClr val="4472C4"/>
                              </a:solidFill>
                              <a:ln w="41275" cap="flat" cmpd="sng" algn="ctr">
                                <a:solidFill>
                                  <a:srgbClr val="4472C4"/>
                                </a:solidFill>
                                <a:prstDash val="solid"/>
                                <a:miter lim="800000"/>
                              </a:ln>
                              <a:effectLst/>
                            </wps:spPr>
                            <wps:style>
                              <a:lnRef idx="1">
                                <a:schemeClr val="accent1"/>
                              </a:lnRef>
                              <a:fillRef idx="0">
                                <a:schemeClr val="accent1"/>
                              </a:fillRef>
                              <a:effectRef idx="0">
                                <a:schemeClr val="accent1"/>
                              </a:effectRef>
                              <a:fontRef idx="minor">
                                <a:schemeClr val="tx1"/>
                              </a:fontRef>
                            </wps:style>
                            <wps:bodyPr/>
                          </wps:wsp>
                          <wps:wsp>
                            <wps:cNvPr id="49" name="直接连接符 39"/>
                            <wps:cNvCnPr/>
                            <wps:spPr>
                              <a:xfrm>
                                <a:off x="973" y="184120"/>
                                <a:ext cx="15" cy="1227"/>
                              </a:xfrm>
                              <a:prstGeom prst="line">
                                <a:avLst/>
                              </a:prstGeom>
                              <a:solidFill>
                                <a:srgbClr val="4472C4"/>
                              </a:solidFill>
                              <a:ln w="41275" cap="flat" cmpd="sng" algn="ctr">
                                <a:solidFill>
                                  <a:srgbClr val="4472C4"/>
                                </a:solidFill>
                                <a:prstDash val="solid"/>
                                <a:miter lim="800000"/>
                              </a:ln>
                              <a:effectLst/>
                            </wps:spPr>
                            <wps:style>
                              <a:lnRef idx="1">
                                <a:schemeClr val="accent1"/>
                              </a:lnRef>
                              <a:fillRef idx="0">
                                <a:schemeClr val="accent1"/>
                              </a:fillRef>
                              <a:effectRef idx="0">
                                <a:schemeClr val="accent1"/>
                              </a:effectRef>
                              <a:fontRef idx="minor">
                                <a:schemeClr val="tx1"/>
                              </a:fontRef>
                            </wps:style>
                            <wps:bodyPr/>
                          </wps:wsp>
                          <wps:wsp>
                            <wps:cNvPr id="50" name="直接连接符 40"/>
                            <wps:cNvCnPr/>
                            <wps:spPr>
                              <a:xfrm flipV="1">
                                <a:off x="987" y="185312"/>
                                <a:ext cx="300" cy="1"/>
                              </a:xfrm>
                              <a:prstGeom prst="line">
                                <a:avLst/>
                              </a:prstGeom>
                              <a:solidFill>
                                <a:srgbClr val="4472C4"/>
                              </a:solidFill>
                              <a:ln w="41275" cap="flat" cmpd="sng" algn="ctr">
                                <a:solidFill>
                                  <a:srgbClr val="4472C4"/>
                                </a:solidFill>
                                <a:prstDash val="solid"/>
                                <a:miter lim="800000"/>
                              </a:ln>
                              <a:effectLst/>
                            </wps:spPr>
                            <wps:style>
                              <a:lnRef idx="1">
                                <a:schemeClr val="accent1"/>
                              </a:lnRef>
                              <a:fillRef idx="0">
                                <a:schemeClr val="accent1"/>
                              </a:fillRef>
                              <a:effectRef idx="0">
                                <a:schemeClr val="accent1"/>
                              </a:effectRef>
                              <a:fontRef idx="minor">
                                <a:schemeClr val="tx1"/>
                              </a:fontRef>
                            </wps:style>
                            <wps:bodyPr/>
                          </wps:wsp>
                          <wps:wsp>
                            <wps:cNvPr id="51" name="等腰三角形 41"/>
                            <wps:cNvSpPr/>
                            <wps:spPr>
                              <a:xfrm rot="5400000">
                                <a:off x="1213" y="185238"/>
                                <a:ext cx="201" cy="120"/>
                              </a:xfrm>
                              <a:prstGeom prst="triangle">
                                <a:avLst>
                                  <a:gd name="adj" fmla="val 51754"/>
                                </a:avLst>
                              </a:prstGeom>
                              <a:solidFill>
                                <a:srgbClr val="4472C4"/>
                              </a:solidFill>
                              <a:ln w="12700" cap="flat" cmpd="sng" algn="ctr">
                                <a:noFill/>
                                <a:prstDash val="solid"/>
                                <a:miter lim="800000"/>
                              </a:ln>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s:wsp>
                        <wps:cNvPr id="56" name="文本框 56"/>
                        <wps:cNvSpPr txBox="1"/>
                        <wps:spPr>
                          <a:xfrm>
                            <a:off x="669925" y="25547"/>
                            <a:ext cx="1310640" cy="4178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rPr>
                                  <w:rFonts w:hAnsi="等线" w:cs="等线"/>
                                  <w:b/>
                                  <w:bCs/>
                                  <w:color w:val="FFFFFF"/>
                                  <w:sz w:val="24"/>
                                  <w:szCs w:val="24"/>
                                </w:rPr>
                              </w:pPr>
                              <w:r>
                                <w:rPr>
                                  <w:rFonts w:hint="eastAsia" w:hAnsi="等线" w:cs="等线"/>
                                  <w:b/>
                                  <w:bCs/>
                                  <w:color w:val="FFFFFF"/>
                                  <w:sz w:val="28"/>
                                  <w:szCs w:val="28"/>
                                </w:rPr>
                                <w:t>基因变异解析</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margin-left:-43pt;margin-top:-9.55pt;height:78.85pt;width:172.35pt;z-index:251680768;mso-width-relative:page;mso-height-relative:page;" coordorigin="0,25547" coordsize="2188845,1001395" o:gfxdata="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">
                <o:lock v:ext="edit" aspectratio="f"/>
                <v:group id="_x0000_s1026" o:spid="_x0000_s1026" o:spt="203" style="position:absolute;left:0;top:43962;height:982980;width:2188845;" coordorigin="941,183851" coordsize="3447,1548" o:gfxdata="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GGrnkm7AAAA2wAAAA8AAAAAAAAAAQAgAAAAIgAAAGRycy9kb3ducmV2LnhtbFBL&#10;AQIUABQAAAAIAIdO4kAzLwWeOwAAADkAAAAVAAAAAAAAAAEAIAAAAAoBAABkcnMvZ3JvdXBzaGFw&#10;ZXhtbC54bWxQSwUGAAAAAAYABgBgAQAAxwMAAAAA&#10;">
                  <o:lock v:ext="edit" aspectratio="f"/>
                  <v:roundrect id="圆角矩形 21" o:spid="_x0000_s1026" o:spt="2" style="position:absolute;left:1724;top:183851;height:677;width:2664;v-text-anchor:middle;" fillcolor="#4472C4" filled="t" stroked="f" coordsize="21600,21600" arcsize="0.166666666666667" o:gfxdata="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mUzTO8AAAA&#10;2wAAAA8AAAAAAAAAAQAgAAAAIgAAAGRycy9kb3ducmV2LnhtbFBLAQIUABQAAAAIAIdO4kAzLwWe&#10;OwAAADkAAAAQAAAAAAAAAAEAIAAAAAsBAABkcnMvc2hhcGV4bWwueG1sUEsFBgAAAAAGAAYAWwEA&#10;ALUDAAAAAA==&#10;">
                    <v:fill on="t" focussize="0,0"/>
                    <v:stroke on="f" weight="1pt" miterlimit="8" joinstyle="miter"/>
                    <v:imagedata o:title=""/>
                    <o:lock v:ext="edit" aspectratio="f"/>
                  </v:roundrect>
                  <v:group id="组合 42" o:spid="_x0000_s1026" o:spt="203" style="position:absolute;left:941;top:184120;height:1279;width:783;" coordorigin="941,184120" coordsize="783,1279" o:gfxdata="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Duc70r0AAADbAAAADwAAAAAAAAABACAAAAAiAAAAZHJzL2Rvd25yZXYueG1s&#10;UEsBAhQAFAAAAAgAh07iQDMvBZ47AAAAOQAAABUAAAAAAAAAAQAgAAAADAEAAGRycy9ncm91cHNo&#10;YXBleG1sLnhtbFBLBQYAAAAABgAGAGABAADJAwAAAAA=&#10;">
                    <o:lock v:ext="edit" aspectratio="f"/>
                    <v:line id="直接连接符 38" o:spid="_x0000_s1026" o:spt="20" style="position:absolute;left:941;top:184145;flip:y;height:3;width:783;" fillcolor="#4472C4" filled="t" stroked="t" coordsize="21600,21600" o:gfxdata="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vX/F/LgAAADbAAAA&#10;DwAAAAAAAAABACAAAAAiAAAAZHJzL2Rvd25yZXYueG1sUEsBAhQAFAAAAAgAh07iQDMvBZ47AAAA&#10;OQAAABAAAAAAAAAAAQAgAAAABwEAAGRycy9zaGFwZXhtbC54bWxQSwUGAAAAAAYABgBbAQAAsQMA&#10;AAAA&#10;">
                      <v:fill on="t" focussize="0,0"/>
                      <v:stroke weight="3.25pt" color="#4472C4 [3204]" miterlimit="8" joinstyle="miter"/>
                      <v:imagedata o:title=""/>
                      <o:lock v:ext="edit" aspectratio="f"/>
                    </v:line>
                    <v:line id="直接连接符 39" o:spid="_x0000_s1026" o:spt="20" style="position:absolute;left:973;top:184120;height:1227;width:15;" fillcolor="#4472C4" filled="t" stroked="t" coordsize="21600,21600" o:gfxdata="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wDk5V&#10;wAAAANsAAAAPAAAAAAAAAAEAIAAAACIAAABkcnMvZG93bnJldi54bWxQSwECFAAUAAAACACHTuJA&#10;My8FnjsAAAA5AAAAEAAAAAAAAAABACAAAAAPAQAAZHJzL3NoYXBleG1sLnhtbFBLBQYAAAAABgAG&#10;AFsBAAC5AwAAAAA=&#10;">
                      <v:fill on="t" focussize="0,0"/>
                      <v:stroke weight="3.25pt" color="#4472C4 [3204]" miterlimit="8" joinstyle="miter"/>
                      <v:imagedata o:title=""/>
                      <o:lock v:ext="edit" aspectratio="f"/>
                    </v:line>
                    <v:line id="直接连接符 40" o:spid="_x0000_s1026" o:spt="20" style="position:absolute;left:987;top:185312;flip:y;height:1;width:300;" fillcolor="#4472C4" filled="t" stroked="t" coordsize="21600,21600" o:gfxdata="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xtBfJ7gAAADbAAAA&#10;DwAAAAAAAAABACAAAAAiAAAAZHJzL2Rvd25yZXYueG1sUEsBAhQAFAAAAAgAh07iQDMvBZ47AAAA&#10;OQAAABAAAAAAAAAAAQAgAAAABwEAAGRycy9zaGFwZXhtbC54bWxQSwUGAAAAAAYABgBbAQAAsQMA&#10;AAAA&#10;">
                      <v:fill on="t" focussize="0,0"/>
                      <v:stroke weight="3.25pt" color="#4472C4 [3204]" miterlimit="8" joinstyle="miter"/>
                      <v:imagedata o:title=""/>
                      <o:lock v:ext="edit" aspectratio="f"/>
                    </v:line>
                    <v:shape id="等腰三角形 41" o:spid="_x0000_s1026" o:spt="5" type="#_x0000_t5" style="position:absolute;left:1213;top:185238;height:120;width:201;rotation:5898240f;v-text-anchor:middle;" fillcolor="#4472C4" filled="t" stroked="f" coordsize="21600,21600" o:gfxdata="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mL1F2&#10;wAAAANsAAAAPAAAAAAAAAAEAIAAAACIAAABkcnMvZG93bnJldi54bWxQSwECFAAUAAAACACHTuJA&#10;My8FnjsAAAA5AAAAEAAAAAAAAAABACAAAAAPAQAAZHJzL3NoYXBleG1sLnhtbFBLBQYAAAAABgAG&#10;AFsBAAC5AwAAAAA=&#10;" adj="11179">
                      <v:fill on="t" focussize="0,0"/>
                      <v:stroke on="f" weight="1pt" miterlimit="8" joinstyle="miter"/>
                      <v:imagedata o:title=""/>
                      <o:lock v:ext="edit" aspectratio="f"/>
                    </v:shape>
                  </v:group>
                </v:group>
                <v:shape id="_x0000_s1026" o:spid="_x0000_s1026" o:spt="202" type="#_x0000_t202" style="position:absolute;left:669925;top:25547;height:417830;width:1310640;" filled="f" stroked="f" coordsize="21600,21600" o:gfxdata="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evNr74A&#10;AADbAAAADwAAAAAAAAABACAAAAAiAAAAZHJzL2Rvd25yZXYueG1sUEsBAhQAFAAAAAgAh07iQDMv&#10;BZ47AAAAOQAAABAAAAAAAAAAAQAgAAAADQEAAGRycy9zaGFwZXhtbC54bWxQSwUGAAAAAAYABgBb&#10;AQAAtwMAAAAA&#10;">
                  <v:fill on="f" focussize="0,0"/>
                  <v:stroke on="f" weight="0.5pt"/>
                  <v:imagedata o:title=""/>
                  <o:lock v:ext="edit" aspectratio="f"/>
                  <v:textbox>
                    <w:txbxContent>
                      <w:p>
                        <w:pPr>
                          <w:rPr>
                            <w:rFonts w:hAnsi="等线" w:cs="等线"/>
                            <w:b/>
                            <w:bCs/>
                            <w:color w:val="FFFFFF"/>
                            <w:sz w:val="24"/>
                            <w:szCs w:val="24"/>
                          </w:rPr>
                        </w:pPr>
                        <w:r>
                          <w:rPr>
                            <w:rFonts w:hint="eastAsia" w:hAnsi="等线" w:cs="等线"/>
                            <w:b/>
                            <w:bCs/>
                            <w:color w:val="FFFFFF"/>
                            <w:sz w:val="28"/>
                            <w:szCs w:val="28"/>
                          </w:rPr>
                          <w:t xml:space="preserve">基因变异解析</w:t>
                        </w:r>
                      </w:p>
                    </w:txbxContent>
                  </v:textbox>
                </v:shape>
              </v:group>
            </w:pict>
          </mc:Fallback>
        </mc:AlternateContent>
      </w:r>
    </w:p>
    <w:bookmarkEnd w:id="48"/>
    <w:p>
      <w:pPr>
        <w:rPr>
          <w:rFonts w:hAnsi="等线" w:cs="Arial"/>
          <w:b/>
          <w:bCs/>
          <w:color w:val="0070C0"/>
          <w:szCs w:val="24"/>
        </w:rPr>
      </w:pPr>
    </w:p>
    <w:p>
      <w:pPr>
        <w:rPr>
          <w:rFonts w:hAnsi="等线" w:cs="Arial"/>
          <w:b/>
          <w:bCs/>
          <w:color w:val="0070C0"/>
          <w:szCs w:val="24"/>
        </w:rPr>
      </w:pPr>
    </w:p>
    <w:tbl>
      <w:tblPr>
        <w:tblStyle w:val="58"/>
        <w:tblW w:w="10299" w:type="dxa"/>
        <w:jc w:val="center"/>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Layout w:type="fixed"/>
        <w:tblCellMar>
          <w:top w:w="0" w:type="dxa"/>
          <w:left w:w="108" w:type="dxa"/>
          <w:bottom w:w="0" w:type="dxa"/>
          <w:right w:w="108" w:type="dxa"/>
        </w:tblCellMar>
      </w:tblPr>
      <w:tblGrid>
        <w:gridCol w:w="1649"/>
        <w:gridCol w:w="1334"/>
        <w:gridCol w:w="1385"/>
        <w:gridCol w:w="1645"/>
        <w:gridCol w:w="4286"/>
      </w:tblGrid>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0299" w:type="dxa"/>
            <w:gridSpan w:val="5"/>
            <w:tcBorders>
              <w:top w:val="single" w:color="FFFFFF" w:sz="4" w:space="0"/>
              <w:left w:val="nil"/>
              <w:bottom w:val="nil"/>
              <w:right w:val="nil"/>
            </w:tcBorders>
            <w:shd w:val="clear" w:color="auto" w:fill="4472C4"/>
          </w:tcPr>
          <w:p>
            <w:pPr>
              <w:snapToGrid w:val="0"/>
              <w:spacing w:before="156" w:beforeLines="50" w:after="156" w:afterLines="50"/>
              <w:jc w:val="center"/>
              <w:rPr>
                <w:rFonts w:hint="eastAsia" w:hAnsi="等线" w:eastAsia="等线"/>
                <w:b/>
                <w:bCs/>
                <w:color w:val="FFFFFF"/>
                <w:lang w:eastAsia="zh-CN"/>
              </w:rPr>
            </w:pPr>
            <w:r>
              <w:rPr>
                <w:rFonts w:hint="eastAsia" w:hAnsi="等线"/>
                <w:b/>
                <w:bCs/>
                <w:color w:val="FFFFFF"/>
              </w:rPr>
              <w:t xml:space="preserve">基因变异：KRAS:NM_004985:exon2:c.35G&gt;T:p.G12V</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0299" w:type="dxa"/>
            <w:gridSpan w:val="5"/>
            <w:tcBorders>
              <w:top w:val="nil"/>
              <w:left w:val="single" w:color="FFFFFF" w:sz="24" w:space="0"/>
              <w:bottom w:val="single" w:color="FFFFFF" w:sz="24" w:space="0"/>
              <w:right w:val="single" w:color="FFFFFF" w:sz="24" w:space="0"/>
            </w:tcBorders>
            <w:shd w:val="clear" w:color="auto" w:fill="F2F2F2"/>
          </w:tcPr>
          <w:p>
            <w:pPr>
              <w:snapToGrid w:val="0"/>
              <w:spacing w:before="156" w:beforeLines="50" w:after="156" w:afterLines="50"/>
              <w:rPr>
                <w:rFonts w:hint="eastAsia" w:hAnsi="等线" w:eastAsia="等线" w:cs="等线"/>
                <w:b/>
                <w:bCs/>
                <w:color w:val="000000"/>
                <w:sz w:val="18"/>
                <w:szCs w:val="18"/>
                <w:lang w:eastAsia="zh-CN"/>
              </w:rPr>
            </w:pPr>
            <w:r>
              <w:rPr>
                <w:rFonts w:hint="eastAsia" w:hAnsi="等线" w:cs="等线"/>
                <w:b/>
                <w:bCs/>
                <w:color w:val="000000"/>
                <w:sz w:val="18"/>
                <w:szCs w:val="18"/>
              </w:rPr>
              <w:t xml:space="preserve">基因功能: </w:t>
            </w:r>
            <w:r>
              <w:rPr>
                <w:rFonts w:hint="eastAsia" w:hAnsi="等线" w:cs="等线"/>
                <w:b w:val="0"/>
                <w:bCs w:val="0"/>
                <w:color w:val="000000"/>
                <w:sz w:val="18"/>
                <w:szCs w:val="18"/>
              </w:rPr>
              <w:t xml:space="preserve">KRAS是小分子GTP酶RAS家族的成员，该家族催化GTP水解为GDP。在生理条件下，这些RAS蛋白在活性(GTP结合)和非活性(GDP结合)状态间循环，以激活受体酪氨酸激酶(RTK)下游的MAPK和PI3K致癌途径信号传导(PMID: 22189424)。RAS酶的功能受到鸟嘌呤核苷酸交换因子(GEF)如SOS的调节，这些因子可以使GDP与GTP交换，也可以通过GTP酶活化蛋白如NF1调节，提高RAS水解GTP的能力。一旦被激活，RAS可通过激活不同的细胞内信号传导途径(包括RAF/MEK/ERK和PI3K/AKT/mTOR途径)介导细胞增殖和其他细胞功能的调节。</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药物</w:t>
            </w:r>
          </w:p>
        </w:tc>
        <w:tc>
          <w:tcPr>
            <w:tcW w:w="1334"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用药提示</w:t>
            </w:r>
          </w:p>
        </w:tc>
        <w:tc>
          <w:tcPr>
            <w:tcW w:w="1385"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肿瘤类型</w:t>
            </w:r>
          </w:p>
        </w:tc>
        <w:tc>
          <w:tcPr>
            <w:tcW w:w="1645"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证据来源</w:t>
            </w:r>
          </w:p>
        </w:tc>
        <w:tc>
          <w:tcPr>
            <w:tcW w:w="4286"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 xml:space="preserve">临床意义</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b/>
                <w:bCs/>
                <w:sz w:val="18"/>
                <w:szCs w:val="18"/>
                <w:lang w:eastAsia="zh-CN"/>
              </w:rPr>
            </w:pPr>
            <w:r>
              <w:rPr>
                <w:rFonts w:hint="eastAsia" w:hAnsi="等线" w:cs="等线"/>
                <w:b/>
                <w:bCs/>
                <w:sz w:val="18"/>
                <w:szCs w:val="18"/>
                <w:lang w:bidi="ar"/>
              </w:rPr>
              <w:t xml:space="preserve">西妥昔单抗</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耐药</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结直肠癌</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FDA</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int="eastAsia" w:hAnsi="等线" w:eastAsia="等线" w:cs="等线"/>
                <w:sz w:val="18"/>
                <w:szCs w:val="18"/>
                <w:lang w:eastAsia="zh-CN"/>
              </w:rPr>
            </w:pPr>
            <w:r>
              <w:rPr>
                <w:rFonts w:hint="eastAsia" w:hAnsi="等线" w:cs="等线"/>
                <w:sz w:val="18"/>
                <w:szCs w:val="18"/>
                <w:lang w:bidi="ar"/>
              </w:rPr>
              <w:t xml:space="preserve">Cetuximab是一种表皮生长因子受体(EGFR)拮抗剂，FDA指出Cetuximab不适用于RAS突变型或RAS突变情况未知的结直肠癌患者(FDA-approval: 11/2020)。</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b/>
                <w:bCs/>
                <w:sz w:val="18"/>
                <w:szCs w:val="18"/>
                <w:lang w:eastAsia="zh-CN"/>
              </w:rPr>
            </w:pPr>
            <w:r>
              <w:rPr>
                <w:rFonts w:hint="eastAsia" w:hAnsi="等线" w:cs="等线"/>
                <w:b/>
                <w:bCs/>
                <w:sz w:val="18"/>
                <w:szCs w:val="18"/>
                <w:lang w:bidi="ar"/>
              </w:rPr>
              <w:t xml:space="preserve">曲妥珠单抗 + 妥卡替尼</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耐药</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结直肠癌</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FDA</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int="eastAsia" w:hAnsi="等线" w:eastAsia="等线" w:cs="等线"/>
                <w:sz w:val="18"/>
                <w:szCs w:val="18"/>
                <w:lang w:eastAsia="zh-CN"/>
              </w:rPr>
            </w:pPr>
            <w:r>
              <w:rPr>
                <w:rFonts w:hint="eastAsia" w:hAnsi="等线" w:cs="等线"/>
                <w:sz w:val="18"/>
                <w:szCs w:val="18"/>
                <w:lang w:bidi="ar"/>
              </w:rPr>
              <w:t xml:space="preserve">FDA推荐Trastuzumab + Tucatinib应用于携带HER2重复，RAS野生型的结直肠癌患者(NCCN: Rectal Cancer-Version 4.2022)</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b/>
                <w:bCs/>
                <w:sz w:val="18"/>
                <w:szCs w:val="18"/>
                <w:lang w:eastAsia="zh-CN"/>
              </w:rPr>
            </w:pPr>
            <w:r>
              <w:rPr>
                <w:rFonts w:hint="eastAsia" w:hAnsi="等线" w:cs="等线"/>
                <w:b/>
                <w:bCs/>
                <w:sz w:val="18"/>
                <w:szCs w:val="18"/>
                <w:lang w:bidi="ar"/>
              </w:rPr>
              <w:t xml:space="preserve">帕尼单抗</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耐药</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结直肠癌</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FDA</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int="eastAsia" w:hAnsi="等线" w:eastAsia="等线" w:cs="等线"/>
                <w:sz w:val="18"/>
                <w:szCs w:val="18"/>
                <w:lang w:eastAsia="zh-CN"/>
              </w:rPr>
            </w:pPr>
            <w:r>
              <w:rPr>
                <w:rFonts w:hint="eastAsia" w:hAnsi="等线" w:cs="等线"/>
                <w:sz w:val="18"/>
                <w:szCs w:val="18"/>
                <w:lang w:bidi="ar"/>
              </w:rPr>
              <w:t xml:space="preserve">Panitumumab是一种表皮生长因子受体(EGFR)拮抗剂，FDA指出Panitumumab不适用于RAS突变型或RAS突变状态未知的转移性结直肠癌患者(FDA-approval: 06/2017)。</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b/>
                <w:bCs/>
                <w:sz w:val="18"/>
                <w:szCs w:val="18"/>
                <w:lang w:eastAsia="zh-CN"/>
              </w:rPr>
            </w:pPr>
            <w:r>
              <w:rPr>
                <w:rFonts w:hint="eastAsia" w:hAnsi="等线" w:cs="等线"/>
                <w:b/>
                <w:bCs/>
                <w:sz w:val="18"/>
                <w:szCs w:val="18"/>
                <w:lang w:bidi="ar"/>
              </w:rPr>
              <w:t xml:space="preserve">曲妥珠单抗 + 帕妥珠单抗,曲妥珠单抗 + 拉帕替尼,trastuzumab deruxtecan</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耐药</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结直肠癌</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NCCN</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int="eastAsia" w:hAnsi="等线" w:eastAsia="等线" w:cs="等线"/>
                <w:sz w:val="18"/>
                <w:szCs w:val="18"/>
                <w:lang w:eastAsia="zh-CN"/>
              </w:rPr>
            </w:pPr>
            <w:r>
              <w:rPr>
                <w:rFonts w:hint="eastAsia" w:hAnsi="等线" w:cs="等线"/>
                <w:sz w:val="18"/>
                <w:szCs w:val="18"/>
                <w:lang w:bidi="ar"/>
              </w:rPr>
              <w:t xml:space="preserve">NCCN指南指出携带KRAS突变的结直肠癌患者对trastuzumab + pertuzumab,trastuzumab + lapatinib,trastuzumab deruxtecan治疗不敏感(NCCN: Colon Cancer-Version 2.2021)。</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b/>
                <w:bCs/>
                <w:sz w:val="18"/>
                <w:szCs w:val="18"/>
                <w:lang w:eastAsia="zh-CN"/>
              </w:rPr>
            </w:pPr>
            <w:r>
              <w:rPr>
                <w:rFonts w:hint="eastAsia" w:hAnsi="等线" w:cs="等线"/>
                <w:b/>
                <w:bCs/>
                <w:sz w:val="18"/>
                <w:szCs w:val="18"/>
                <w:lang w:bidi="ar"/>
              </w:rPr>
              <w:t xml:space="preserve">EGFR-TKI</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耐药</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非小细胞肺癌</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NCCN</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int="eastAsia" w:hAnsi="等线" w:eastAsia="等线" w:cs="等线"/>
                <w:sz w:val="18"/>
                <w:szCs w:val="18"/>
                <w:lang w:eastAsia="zh-CN"/>
              </w:rPr>
            </w:pPr>
            <w:r>
              <w:rPr>
                <w:rFonts w:hint="eastAsia" w:hAnsi="等线" w:cs="等线"/>
                <w:sz w:val="18"/>
                <w:szCs w:val="18"/>
                <w:lang w:bidi="ar"/>
              </w:rPr>
              <w:t xml:space="preserve">NCCN指南指出携带KRAS、BRAF基因突变和ALK、ROS1融合的非小细胞肺癌患者可能对EGFR信号通路抑制剂类靶向药物耐药(NCCN: Non-Small Cell Lung Cancer-Version 6.2021)。</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b/>
                <w:bCs/>
                <w:sz w:val="18"/>
                <w:szCs w:val="18"/>
                <w:lang w:eastAsia="zh-CN"/>
              </w:rPr>
            </w:pPr>
            <w:r>
              <w:rPr>
                <w:rFonts w:hint="eastAsia" w:hAnsi="等线" w:cs="等线"/>
                <w:b/>
                <w:bCs/>
                <w:sz w:val="18"/>
                <w:szCs w:val="18"/>
                <w:lang w:bidi="ar"/>
              </w:rPr>
              <w:t xml:space="preserve">考比替尼 + Ipatasertib</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可能敏感</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实体瘤</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临床试验</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int="eastAsia" w:hAnsi="等线" w:eastAsia="等线" w:cs="等线"/>
                <w:sz w:val="18"/>
                <w:szCs w:val="18"/>
                <w:lang w:eastAsia="zh-CN"/>
              </w:rPr>
            </w:pPr>
            <w:r>
              <w:rPr>
                <w:rFonts w:hint="eastAsia" w:hAnsi="等线" w:cs="等线"/>
                <w:sz w:val="18"/>
                <w:szCs w:val="18"/>
                <w:lang w:bidi="ar"/>
              </w:rPr>
              <w:t xml:space="preserve">在一项Ib期临床试验中，13例携带KRAS突变的晚期实体瘤肿瘤患者接受Cobimetinib+ipatasertib联合治疗后，2例部分缓解，3例病情稳定，6例疾病进展为最佳反应(PMID: 32737717)。</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b/>
                <w:bCs/>
                <w:sz w:val="18"/>
                <w:szCs w:val="18"/>
                <w:lang w:eastAsia="zh-CN"/>
              </w:rPr>
            </w:pPr>
            <w:r>
              <w:rPr>
                <w:rFonts w:hint="eastAsia" w:hAnsi="等线" w:cs="等线"/>
                <w:b/>
                <w:bCs/>
                <w:sz w:val="18"/>
                <w:szCs w:val="18"/>
                <w:lang w:bidi="ar"/>
              </w:rPr>
              <w:t xml:space="preserve">贝美替尼</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可能敏感</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实体瘤</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临床试验</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int="eastAsia" w:hAnsi="等线" w:eastAsia="等线" w:cs="等线"/>
                <w:sz w:val="18"/>
                <w:szCs w:val="18"/>
                <w:lang w:eastAsia="zh-CN"/>
              </w:rPr>
            </w:pPr>
            <w:r>
              <w:rPr>
                <w:rFonts w:hint="eastAsia" w:hAnsi="等线" w:cs="等线"/>
                <w:sz w:val="18"/>
                <w:szCs w:val="18"/>
                <w:lang w:bidi="ar"/>
              </w:rPr>
              <w:t xml:space="preserve">在一项I期临床试验中，纳入21位晚期实体瘤患者接受Binimetinib治疗，其中8例患者携带KRAS突变。在纳入分析的18例患者中，14例患者病情稳定，包含4例携带KRAS突变患者(PMID: 27071922)。</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b/>
                <w:bCs/>
                <w:sz w:val="18"/>
                <w:szCs w:val="18"/>
                <w:lang w:eastAsia="zh-CN"/>
              </w:rPr>
            </w:pPr>
            <w:r>
              <w:rPr>
                <w:rFonts w:hint="eastAsia" w:hAnsi="等线" w:cs="等线"/>
                <w:b/>
                <w:bCs/>
                <w:sz w:val="18"/>
                <w:szCs w:val="18"/>
                <w:lang w:bidi="ar"/>
              </w:rPr>
              <w:t xml:space="preserve">曲美替尼</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可能敏感</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实体瘤</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临床前研究</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int="eastAsia" w:hAnsi="等线" w:eastAsia="等线" w:cs="等线"/>
                <w:sz w:val="18"/>
                <w:szCs w:val="18"/>
                <w:lang w:eastAsia="zh-CN"/>
              </w:rPr>
            </w:pPr>
            <w:r>
              <w:rPr>
                <w:rFonts w:hint="eastAsia" w:hAnsi="等线" w:cs="等线"/>
                <w:sz w:val="18"/>
                <w:szCs w:val="18"/>
                <w:lang w:bidi="ar"/>
              </w:rPr>
              <w:t xml:space="preserve">在一项临床前研究中，曲美替尼可抑制BRAF V600E和KRAS突变肿瘤细胞系的增殖，其IC50值低于PD0325901或selumetinib，虽然曲美替尼和PD0325901在体外对MEK1具有相似的效力。与PD0325901相比，在这些浓度下用曲美替尼或CH5126766处理48小时，可在KRAS突变细胞(H2030)和表达活性CRAF数量增加的A375细胞中更持久地抑制pERK活性(PMID: 24746704)。</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b/>
                <w:bCs/>
                <w:sz w:val="18"/>
                <w:szCs w:val="18"/>
                <w:lang w:eastAsia="zh-CN"/>
              </w:rPr>
            </w:pPr>
            <w:r>
              <w:rPr>
                <w:rFonts w:hint="eastAsia" w:hAnsi="等线" w:cs="等线"/>
                <w:b/>
                <w:bCs/>
                <w:sz w:val="18"/>
                <w:szCs w:val="18"/>
                <w:lang w:bidi="ar"/>
              </w:rPr>
              <w:t xml:space="preserve">RMC-6236</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可能敏感</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实体瘤</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临床前研究</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int="eastAsia" w:hAnsi="等线" w:eastAsia="等线" w:cs="等线"/>
                <w:sz w:val="18"/>
                <w:szCs w:val="18"/>
                <w:lang w:eastAsia="zh-CN"/>
              </w:rPr>
            </w:pPr>
            <w:r>
              <w:rPr>
                <w:rFonts w:hint="eastAsia" w:hAnsi="等线" w:cs="等线"/>
                <w:sz w:val="18"/>
                <w:szCs w:val="18"/>
                <w:lang w:bidi="ar"/>
              </w:rPr>
              <w:t xml:space="preserve">在体外实验中，RMC-6236抑制了细胞生长，并诱导多种RAS癌细胞株凋亡，在临床前体内异种移植模型中，RMC-6236可抑制RAS通路的激活长达48小时。与健康组织相比RMC-6236对肿瘤组织的亲和力更高，在多种细胞系来源的异种移植模型（NSCLC、CRC和PDAC等）中RMC-6236对KRAS突变（特别是KRAS G12D, KRAS G12V和 KRAS G12R）均有明显也持久的肿瘤消退效果（Abstract: Koltun et al. Abstract# 3597, AACR 2022）。</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0299" w:type="dxa"/>
            <w:gridSpan w:val="5"/>
            <w:tcBorders>
              <w:top w:val="single" w:color="FFFFFF" w:sz="4" w:space="0"/>
              <w:left w:val="nil"/>
              <w:bottom w:val="nil"/>
              <w:right w:val="nil"/>
            </w:tcBorders>
            <w:shd w:val="clear" w:color="auto" w:fill="4472C4"/>
          </w:tcPr>
          <w:p>
            <w:pPr>
              <w:snapToGrid w:val="0"/>
              <w:spacing w:before="156" w:beforeLines="50" w:after="156" w:afterLines="50"/>
              <w:jc w:val="center"/>
              <w:rPr>
                <w:rFonts w:hint="eastAsia" w:hAnsi="等线" w:eastAsia="等线"/>
                <w:b/>
                <w:bCs/>
                <w:color w:val="FFFFFF"/>
                <w:lang w:eastAsia="zh-CN"/>
              </w:rPr>
            </w:pPr>
            <w:r>
              <w:rPr>
                <w:rFonts w:hint="eastAsia" w:hAnsi="等线"/>
                <w:b/>
                <w:bCs/>
                <w:color w:val="FFFFFF"/>
              </w:rPr>
              <w:t xml:space="preserve">基因变异：PIK3CA:NM_006218:exon10:c.1636C&gt;A:p.Q546K</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0299" w:type="dxa"/>
            <w:gridSpan w:val="5"/>
            <w:tcBorders>
              <w:top w:val="nil"/>
              <w:left w:val="single" w:color="FFFFFF" w:sz="24" w:space="0"/>
              <w:bottom w:val="single" w:color="FFFFFF" w:sz="24" w:space="0"/>
              <w:right w:val="single" w:color="FFFFFF" w:sz="24" w:space="0"/>
            </w:tcBorders>
            <w:shd w:val="clear" w:color="auto" w:fill="F2F2F2"/>
          </w:tcPr>
          <w:p>
            <w:pPr>
              <w:snapToGrid w:val="0"/>
              <w:spacing w:before="156" w:beforeLines="50" w:after="156" w:afterLines="50"/>
              <w:rPr>
                <w:rFonts w:hint="eastAsia" w:hAnsi="等线" w:eastAsia="等线" w:cs="等线"/>
                <w:b/>
                <w:bCs/>
                <w:color w:val="000000"/>
                <w:sz w:val="18"/>
                <w:szCs w:val="18"/>
                <w:lang w:eastAsia="zh-CN"/>
              </w:rPr>
            </w:pPr>
            <w:r>
              <w:rPr>
                <w:rFonts w:hint="eastAsia" w:hAnsi="等线" w:cs="等线"/>
                <w:b/>
                <w:bCs/>
                <w:color w:val="000000"/>
                <w:sz w:val="18"/>
                <w:szCs w:val="18"/>
              </w:rPr>
              <w:t xml:space="preserve">基因功能: </w:t>
            </w:r>
            <w:r>
              <w:rPr>
                <w:rFonts w:hint="eastAsia" w:hAnsi="等线" w:cs="等线"/>
                <w:b w:val="0"/>
                <w:bCs w:val="0"/>
                <w:color w:val="000000"/>
                <w:sz w:val="18"/>
                <w:szCs w:val="18"/>
              </w:rPr>
              <w:t xml:space="preserve">PIK3CA基因编码磷脂酰肌醇3-激酶(PI3K)的p110α催化亚基，PI3K是由受体酪氨酸激酶 [例如表皮生长因子受体(EGFR)和人表皮生长受体2 (HER2/ERBB2)] 驱动的信号转导通路中的整合信号分子。PI3K的活性形式由调节性p85亚单位和催化性p110亚单位组成。激活的PI3K将PIP2转化为PIP3，引发AKT(蛋白激酶B)的磷酸化和雷帕霉素(mTOR)激酶的激活。PI3K/AKT/mTOR信号通路通过调节各种细胞功能(包括细胞增殖、存活、代谢和细胞骨架重组)来促进肿瘤发生(PMID: 16453012)。</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药物</w:t>
            </w:r>
          </w:p>
        </w:tc>
        <w:tc>
          <w:tcPr>
            <w:tcW w:w="1334"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用药提示</w:t>
            </w:r>
          </w:p>
        </w:tc>
        <w:tc>
          <w:tcPr>
            <w:tcW w:w="1385"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肿瘤类型</w:t>
            </w:r>
          </w:p>
        </w:tc>
        <w:tc>
          <w:tcPr>
            <w:tcW w:w="1645"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证据来源</w:t>
            </w:r>
          </w:p>
        </w:tc>
        <w:tc>
          <w:tcPr>
            <w:tcW w:w="4286"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 xml:space="preserve">临床意义</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b/>
                <w:bCs/>
                <w:sz w:val="18"/>
                <w:szCs w:val="18"/>
                <w:lang w:eastAsia="zh-CN"/>
              </w:rPr>
            </w:pPr>
            <w:r>
              <w:rPr>
                <w:rFonts w:hint="eastAsia" w:hAnsi="等线" w:cs="等线"/>
                <w:b/>
                <w:bCs/>
                <w:sz w:val="18"/>
                <w:szCs w:val="18"/>
                <w:lang w:bidi="ar"/>
              </w:rPr>
              <w:t xml:space="preserve">阿培利司</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可能敏感</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实体瘤</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临床I期</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int="eastAsia" w:hAnsi="等线" w:eastAsia="等线" w:cs="等线"/>
                <w:sz w:val="18"/>
                <w:szCs w:val="18"/>
                <w:lang w:eastAsia="zh-CN"/>
              </w:rPr>
            </w:pPr>
            <w:r>
              <w:rPr>
                <w:rFonts w:hint="eastAsia" w:hAnsi="等线" w:cs="等线"/>
                <w:sz w:val="18"/>
                <w:szCs w:val="18"/>
                <w:lang w:bidi="ar"/>
              </w:rPr>
              <w:t xml:space="preserve">在一项I期临床试验中，携带PIK3CA基因突变的晚期实体瘤患者当使用Alpelisib (BYL719)治疗后，58.2% (78/134)的患者病情得到控制，1个患者获得完全缓解，7个部分缓解，70个患者疾病稳定，临床受益率 (CR+PR+SD&gt;24 weeks)为15.7% (21/134)(PMID: 29401002; NCT01219699)。</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b/>
                <w:bCs/>
                <w:sz w:val="18"/>
                <w:szCs w:val="18"/>
                <w:lang w:eastAsia="zh-CN"/>
              </w:rPr>
            </w:pPr>
            <w:r>
              <w:rPr>
                <w:rFonts w:hint="eastAsia" w:hAnsi="等线" w:cs="等线"/>
                <w:b/>
                <w:bCs/>
                <w:sz w:val="18"/>
                <w:szCs w:val="18"/>
                <w:lang w:bidi="ar"/>
              </w:rPr>
              <w:t xml:space="preserve">RLY-2608</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可能敏感</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实体瘤</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临床I期</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int="eastAsia" w:hAnsi="等线" w:eastAsia="等线" w:cs="等线"/>
                <w:sz w:val="18"/>
                <w:szCs w:val="18"/>
                <w:lang w:eastAsia="zh-CN"/>
              </w:rPr>
            </w:pPr>
            <w:r>
              <w:rPr>
                <w:rFonts w:hint="eastAsia" w:hAnsi="等线" w:cs="等线"/>
                <w:sz w:val="18"/>
                <w:szCs w:val="18"/>
                <w:lang w:bidi="ar"/>
              </w:rPr>
              <w:t xml:space="preserve">RLY-2608是一种新型PI3Kα抑制剂，一项I期临床研究旨在评估RLY-2608作为单药在PI3KCA突变的晚期实体瘤患者以及与氟维司群联合用于PIK3CA突变，HR+，HER2-转移性乳腺癌（MBC）的中的临床活性。实验正在进行中（Abstract: Perez et al. Abstract# TPS1124, ASCO 2022）。</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0299" w:type="dxa"/>
            <w:gridSpan w:val="5"/>
            <w:tcBorders>
              <w:top w:val="single" w:color="FFFFFF" w:sz="4" w:space="0"/>
              <w:left w:val="nil"/>
              <w:bottom w:val="nil"/>
              <w:right w:val="nil"/>
            </w:tcBorders>
            <w:shd w:val="clear" w:color="auto" w:fill="4472C4"/>
          </w:tcPr>
          <w:p>
            <w:pPr>
              <w:snapToGrid w:val="0"/>
              <w:spacing w:before="156" w:beforeLines="50" w:after="156" w:afterLines="50"/>
              <w:jc w:val="center"/>
              <w:rPr>
                <w:rFonts w:hint="eastAsia" w:hAnsi="等线" w:eastAsia="等线"/>
                <w:b/>
                <w:bCs/>
                <w:color w:val="FFFFFF"/>
                <w:lang w:eastAsia="zh-CN"/>
              </w:rPr>
            </w:pPr>
            <w:r>
              <w:rPr>
                <w:rFonts w:hint="eastAsia" w:hAnsi="等线"/>
                <w:b/>
                <w:bCs/>
                <w:color w:val="FFFFFF"/>
              </w:rPr>
              <w:t xml:space="preserve">基因变异：TP53:NM_000546:exon4:c.216dupC:p.V73Rfs*76</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0299" w:type="dxa"/>
            <w:gridSpan w:val="5"/>
            <w:tcBorders>
              <w:top w:val="nil"/>
              <w:left w:val="single" w:color="FFFFFF" w:sz="24" w:space="0"/>
              <w:bottom w:val="single" w:color="FFFFFF" w:sz="24" w:space="0"/>
              <w:right w:val="single" w:color="FFFFFF" w:sz="24" w:space="0"/>
            </w:tcBorders>
            <w:shd w:val="clear" w:color="auto" w:fill="F2F2F2"/>
          </w:tcPr>
          <w:p>
            <w:pPr>
              <w:snapToGrid w:val="0"/>
              <w:spacing w:before="156" w:beforeLines="50" w:after="156" w:afterLines="50"/>
              <w:rPr>
                <w:rFonts w:hint="eastAsia" w:hAnsi="等线" w:eastAsia="等线" w:cs="等线"/>
                <w:b/>
                <w:bCs/>
                <w:color w:val="000000"/>
                <w:sz w:val="18"/>
                <w:szCs w:val="18"/>
                <w:lang w:eastAsia="zh-CN"/>
              </w:rPr>
            </w:pPr>
            <w:r>
              <w:rPr>
                <w:rFonts w:hint="eastAsia" w:hAnsi="等线" w:cs="等线"/>
                <w:b/>
                <w:bCs/>
                <w:color w:val="000000"/>
                <w:sz w:val="18"/>
                <w:szCs w:val="18"/>
              </w:rPr>
              <w:t xml:space="preserve">基因功能: </w:t>
            </w:r>
            <w:r>
              <w:rPr>
                <w:rFonts w:hint="eastAsia" w:hAnsi="等线" w:cs="等线"/>
                <w:b w:val="0"/>
                <w:bCs w:val="0"/>
                <w:color w:val="000000"/>
                <w:sz w:val="18"/>
                <w:szCs w:val="18"/>
              </w:rPr>
              <w:t xml:space="preserve">TP53编码p53肿瘤抑制蛋白，这是一种转录因子，通过诱导下游抗肿瘤反应，如DNA损伤修复和凋亡，对细胞应激(包括DNA损伤和致癌性激活)产生应答(PMID: 11099028)。p53蛋白由一个N末端反式激活结构域，一个中心DNA结合结构域、一个寡聚结构域，以及一个C末端调节结构域组成(PMID: 22713868)。</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药物</w:t>
            </w:r>
          </w:p>
        </w:tc>
        <w:tc>
          <w:tcPr>
            <w:tcW w:w="1334"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用药提示</w:t>
            </w:r>
          </w:p>
        </w:tc>
        <w:tc>
          <w:tcPr>
            <w:tcW w:w="1385"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肿瘤类型</w:t>
            </w:r>
          </w:p>
        </w:tc>
        <w:tc>
          <w:tcPr>
            <w:tcW w:w="1645"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证据来源</w:t>
            </w:r>
          </w:p>
        </w:tc>
        <w:tc>
          <w:tcPr>
            <w:tcW w:w="4286"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 xml:space="preserve">临床意义</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b/>
                <w:bCs/>
                <w:sz w:val="18"/>
                <w:szCs w:val="18"/>
                <w:lang w:eastAsia="zh-CN"/>
              </w:rPr>
            </w:pPr>
            <w:r>
              <w:rPr>
                <w:rFonts w:hint="eastAsia" w:hAnsi="等线" w:cs="等线"/>
                <w:b/>
                <w:bCs/>
                <w:sz w:val="18"/>
                <w:szCs w:val="18"/>
                <w:lang w:bidi="ar"/>
              </w:rPr>
              <w:t xml:space="preserve">培唑帕尼 + 伏立诺他</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可能敏感</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实体瘤</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临床I期</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int="eastAsia" w:hAnsi="等线" w:eastAsia="等线" w:cs="等线"/>
                <w:sz w:val="18"/>
                <w:szCs w:val="18"/>
                <w:lang w:eastAsia="zh-CN"/>
              </w:rPr>
            </w:pPr>
            <w:r>
              <w:rPr>
                <w:rFonts w:hint="eastAsia" w:hAnsi="等线" w:cs="等线"/>
                <w:sz w:val="18"/>
                <w:szCs w:val="18"/>
                <w:lang w:bidi="ar"/>
              </w:rPr>
              <w:t xml:space="preserve">在一项I期试验中，Votrient（培唑帕尼）和Zolinza（伏立诺他）的联合疗法改善了携带TP53热点突变的晚期实体瘤患者的无进展生存期和总生存率，疾病稳定率为45％（5/11），而未检测到TP53突变患者的疾病稳定率为16％（4/25）（PMID：25669829）。</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b/>
                <w:bCs/>
                <w:sz w:val="18"/>
                <w:szCs w:val="18"/>
                <w:lang w:eastAsia="zh-CN"/>
              </w:rPr>
            </w:pPr>
            <w:r>
              <w:rPr>
                <w:rFonts w:hint="eastAsia" w:hAnsi="等线" w:cs="等线"/>
                <w:b/>
                <w:bCs/>
                <w:sz w:val="18"/>
                <w:szCs w:val="18"/>
                <w:lang w:bidi="ar"/>
              </w:rPr>
              <w:t xml:space="preserve">贝伐珠单抗</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可能敏感</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实体瘤</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临床试验</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int="eastAsia" w:hAnsi="等线" w:eastAsia="等线" w:cs="等线"/>
                <w:sz w:val="18"/>
                <w:szCs w:val="18"/>
                <w:lang w:eastAsia="zh-CN"/>
              </w:rPr>
            </w:pPr>
            <w:r>
              <w:rPr>
                <w:rFonts w:hint="eastAsia" w:hAnsi="等线" w:cs="等线"/>
                <w:sz w:val="18"/>
                <w:szCs w:val="18"/>
                <w:lang w:bidi="ar"/>
              </w:rPr>
              <w:t xml:space="preserve">在一项临床试验中，106位携带TP53突变的晚期实体瘤患者使用VEGF/VEGFR抑制剂如Bevacizumab治疗，其疾病稳定、部分缓解、完全缓解、总生存期、从开始治疗到治疗失败的时间这些指标均好于TP53基因野生型的82位患者(PMID: 27466356)。在一项回顾性研究中，携带TP53基因突变的癌症患者采用bevacizumab治疗，其疾病无进展生存期长于TP53基因野生型患者(PMID: 23670029)。</w:t>
            </w:r>
          </w:p>
        </w:tc>
      </w:tr>
    </w:tbl>
    <w:p>
      <w:pPr>
        <w:rPr>
          <w:rFonts w:hAnsi="等线"/>
          <w:szCs w:val="21"/>
        </w:rPr>
      </w:pPr>
      <w:r>
        <w:rPr>
          <w:rFonts w:hAnsi="等线"/>
          <w:szCs w:val="21"/>
        </w:rPr>
        <w:br w:type="page"/>
      </w:r>
    </w:p>
    <w:p>
      <w:pPr>
        <w:rPr>
          <w:rFonts w:hAnsi="等线"/>
          <w:szCs w:val="21"/>
        </w:rPr>
      </w:pPr>
      <w:bookmarkStart w:id="49" w:name="靶向药物解析"/>
      <w:bookmarkEnd w:id="49"/>
      <w:r>
        <mc:AlternateContent>
          <mc:Choice Requires="wpg">
            <w:drawing>
              <wp:anchor distT="0" distB="0" distL="114300" distR="114300" simplePos="0" relativeHeight="251686912" behindDoc="0" locked="0" layoutInCell="1" allowOverlap="1">
                <wp:simplePos x="0" y="0"/>
                <wp:positionH relativeFrom="column">
                  <wp:posOffset>-546100</wp:posOffset>
                </wp:positionH>
                <wp:positionV relativeFrom="paragraph">
                  <wp:posOffset>-121285</wp:posOffset>
                </wp:positionV>
                <wp:extent cx="2188845" cy="1001395"/>
                <wp:effectExtent l="0" t="0" r="8255" b="1905"/>
                <wp:wrapNone/>
                <wp:docPr id="1024" name="组合 21"/>
                <wp:cNvGraphicFramePr/>
                <a:graphic xmlns:a="http://schemas.openxmlformats.org/drawingml/2006/main">
                  <a:graphicData uri="http://schemas.microsoft.com/office/word/2010/wordprocessingGroup">
                    <wpg:wgp>
                      <wpg:cNvGrpSpPr/>
                      <wpg:grpSpPr>
                        <a:xfrm>
                          <a:off x="0" y="0"/>
                          <a:ext cx="2188845" cy="1001395"/>
                          <a:chOff x="0" y="25547"/>
                          <a:chExt cx="2188845" cy="1001395"/>
                        </a:xfrm>
                      </wpg:grpSpPr>
                      <wpg:grpSp>
                        <wpg:cNvPr id="30" name="组合 98"/>
                        <wpg:cNvGrpSpPr/>
                        <wpg:grpSpPr>
                          <a:xfrm>
                            <a:off x="0" y="43962"/>
                            <a:ext cx="2188845" cy="982980"/>
                            <a:chOff x="941" y="183851"/>
                            <a:chExt cx="3447" cy="1548"/>
                          </a:xfrm>
                        </wpg:grpSpPr>
                        <wps:wsp>
                          <wps:cNvPr id="32" name="圆角矩形 21"/>
                          <wps:cNvSpPr/>
                          <wps:spPr>
                            <a:xfrm>
                              <a:off x="1724" y="183851"/>
                              <a:ext cx="2664" cy="677"/>
                            </a:xfrm>
                            <a:prstGeom prst="roundRect">
                              <a:avLst/>
                            </a:prstGeom>
                            <a:solidFill>
                              <a:srgbClr val="4472C4"/>
                            </a:solidFill>
                            <a:ln w="12700" cap="flat" cmpd="sng" algn="ctr">
                              <a:noFill/>
                              <a:prstDash val="solid"/>
                              <a:miter lim="800000"/>
                            </a:ln>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cNvPr id="38" name="组合 42"/>
                          <wpg:cNvGrpSpPr/>
                          <wpg:grpSpPr>
                            <a:xfrm>
                              <a:off x="941" y="184120"/>
                              <a:ext cx="783" cy="1279"/>
                              <a:chOff x="941" y="184120"/>
                              <a:chExt cx="783" cy="1279"/>
                            </a:xfrm>
                          </wpg:grpSpPr>
                          <wps:wsp>
                            <wps:cNvPr id="39" name="直接连接符 38"/>
                            <wps:cNvCnPr/>
                            <wps:spPr>
                              <a:xfrm flipV="1">
                                <a:off x="941" y="184145"/>
                                <a:ext cx="783" cy="3"/>
                              </a:xfrm>
                              <a:prstGeom prst="line">
                                <a:avLst/>
                              </a:prstGeom>
                              <a:solidFill>
                                <a:srgbClr val="4472C4"/>
                              </a:solidFill>
                              <a:ln w="41275" cap="flat" cmpd="sng" algn="ctr">
                                <a:solidFill>
                                  <a:srgbClr val="4472C4"/>
                                </a:solidFill>
                                <a:prstDash val="solid"/>
                                <a:miter lim="800000"/>
                              </a:ln>
                              <a:effectLst/>
                            </wps:spPr>
                            <wps:style>
                              <a:lnRef idx="1">
                                <a:schemeClr val="accent1"/>
                              </a:lnRef>
                              <a:fillRef idx="0">
                                <a:schemeClr val="accent1"/>
                              </a:fillRef>
                              <a:effectRef idx="0">
                                <a:schemeClr val="accent1"/>
                              </a:effectRef>
                              <a:fontRef idx="minor">
                                <a:schemeClr val="tx1"/>
                              </a:fontRef>
                            </wps:style>
                            <wps:bodyPr/>
                          </wps:wsp>
                          <wps:wsp>
                            <wps:cNvPr id="40" name="直接连接符 39"/>
                            <wps:cNvCnPr/>
                            <wps:spPr>
                              <a:xfrm>
                                <a:off x="973" y="184120"/>
                                <a:ext cx="15" cy="1227"/>
                              </a:xfrm>
                              <a:prstGeom prst="line">
                                <a:avLst/>
                              </a:prstGeom>
                              <a:solidFill>
                                <a:srgbClr val="4472C4"/>
                              </a:solidFill>
                              <a:ln w="41275" cap="flat" cmpd="sng" algn="ctr">
                                <a:solidFill>
                                  <a:srgbClr val="4472C4"/>
                                </a:solidFill>
                                <a:prstDash val="solid"/>
                                <a:miter lim="800000"/>
                              </a:ln>
                              <a:effectLst/>
                            </wps:spPr>
                            <wps:style>
                              <a:lnRef idx="1">
                                <a:schemeClr val="accent1"/>
                              </a:lnRef>
                              <a:fillRef idx="0">
                                <a:schemeClr val="accent1"/>
                              </a:fillRef>
                              <a:effectRef idx="0">
                                <a:schemeClr val="accent1"/>
                              </a:effectRef>
                              <a:fontRef idx="minor">
                                <a:schemeClr val="tx1"/>
                              </a:fontRef>
                            </wps:style>
                            <wps:bodyPr/>
                          </wps:wsp>
                          <wps:wsp>
                            <wps:cNvPr id="41" name="直接连接符 40"/>
                            <wps:cNvCnPr/>
                            <wps:spPr>
                              <a:xfrm flipV="1">
                                <a:off x="987" y="185312"/>
                                <a:ext cx="300" cy="1"/>
                              </a:xfrm>
                              <a:prstGeom prst="line">
                                <a:avLst/>
                              </a:prstGeom>
                              <a:solidFill>
                                <a:srgbClr val="4472C4"/>
                              </a:solidFill>
                              <a:ln w="41275" cap="flat" cmpd="sng" algn="ctr">
                                <a:solidFill>
                                  <a:srgbClr val="4472C4"/>
                                </a:solidFill>
                                <a:prstDash val="solid"/>
                                <a:miter lim="800000"/>
                              </a:ln>
                              <a:effectLst/>
                            </wps:spPr>
                            <wps:style>
                              <a:lnRef idx="1">
                                <a:schemeClr val="accent1"/>
                              </a:lnRef>
                              <a:fillRef idx="0">
                                <a:schemeClr val="accent1"/>
                              </a:fillRef>
                              <a:effectRef idx="0">
                                <a:schemeClr val="accent1"/>
                              </a:effectRef>
                              <a:fontRef idx="minor">
                                <a:schemeClr val="tx1"/>
                              </a:fontRef>
                            </wps:style>
                            <wps:bodyPr/>
                          </wps:wsp>
                          <wps:wsp>
                            <wps:cNvPr id="52" name="等腰三角形 41"/>
                            <wps:cNvSpPr/>
                            <wps:spPr>
                              <a:xfrm rot="5400000">
                                <a:off x="1213" y="185238"/>
                                <a:ext cx="201" cy="120"/>
                              </a:xfrm>
                              <a:prstGeom prst="triangle">
                                <a:avLst>
                                  <a:gd name="adj" fmla="val 51754"/>
                                </a:avLst>
                              </a:prstGeom>
                              <a:solidFill>
                                <a:srgbClr val="4472C4"/>
                              </a:solidFill>
                              <a:ln w="12700" cap="flat" cmpd="sng" algn="ctr">
                                <a:noFill/>
                                <a:prstDash val="solid"/>
                                <a:miter lim="800000"/>
                              </a:ln>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s:wsp>
                        <wps:cNvPr id="53" name="文本框 56"/>
                        <wps:cNvSpPr txBox="1"/>
                        <wps:spPr>
                          <a:xfrm>
                            <a:off x="669925" y="25547"/>
                            <a:ext cx="1310640" cy="4178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rPr>
                                  <w:rFonts w:hAnsi="等线" w:cs="等线"/>
                                  <w:b/>
                                  <w:bCs/>
                                  <w:color w:val="FFFFFF"/>
                                  <w:sz w:val="24"/>
                                  <w:szCs w:val="24"/>
                                </w:rPr>
                              </w:pPr>
                              <w:r>
                                <w:rPr>
                                  <w:rFonts w:hint="eastAsia" w:hAnsi="等线" w:cs="等线"/>
                                  <w:b/>
                                  <w:bCs/>
                                  <w:color w:val="FFFFFF"/>
                                  <w:sz w:val="28"/>
                                  <w:szCs w:val="28"/>
                                </w:rPr>
                                <w:t>靶向药物解析</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margin-left:-43pt;margin-top:-9.55pt;height:78.85pt;width:172.35pt;z-index:251686912;mso-width-relative:page;mso-height-relative:page;" coordorigin="0,25547" coordsize="2188845,1001395" o:gfxdata="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">
                <o:lock v:ext="edit" aspectratio="f"/>
                <v:group id="组合 98" o:spid="_x0000_s1026" o:spt="203" style="position:absolute;left:0;top:43962;height:982980;width:2188845;" coordorigin="941,183851" coordsize="3447,1548" o:gfxdata="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">
                  <o:lock v:ext="edit" aspectratio="f"/>
                  <v:roundrect id="圆角矩形 21" o:spid="_x0000_s1026" o:spt="2" style="position:absolute;left:1724;top:183851;height:677;width:2664;v-text-anchor:middle;" fillcolor="#4472C4" filled="t" stroked="f" coordsize="21600,21600" arcsize="0.166666666666667" o:gfxdata="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OqbhNvQAA&#10;ANsAAAAPAAAAAAAAAAEAIAAAACIAAABkcnMvZG93bnJldi54bWxQSwECFAAUAAAACACHTuJAMy8F&#10;njsAAAA5AAAAEAAAAAAAAAABACAAAAAMAQAAZHJzL3NoYXBleG1sLnhtbFBLBQYAAAAABgAGAFsB&#10;AAC2AwAAAAA=&#10;">
                    <v:fill on="t" focussize="0,0"/>
                    <v:stroke on="f" weight="1pt" miterlimit="8" joinstyle="miter"/>
                    <v:imagedata o:title=""/>
                    <o:lock v:ext="edit" aspectratio="f"/>
                  </v:roundrect>
                  <v:group id="组合 42" o:spid="_x0000_s1026" o:spt="203" style="position:absolute;left:941;top:184120;height:1279;width:783;" coordorigin="941,184120" coordsize="783,1279" o:gfxdata="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">
                    <o:lock v:ext="edit" aspectratio="f"/>
                    <v:line id="直接连接符 38" o:spid="_x0000_s1026" o:spt="20" style="position:absolute;left:941;top:184145;flip:y;height:3;width:783;" fillcolor="#4472C4" filled="t" stroked="t" coordsize="21600,21600" o:gfxdata="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KNRMaugAAANsA&#10;AAAPAAAAAAAAAAEAIAAAACIAAABkcnMvZG93bnJldi54bWxQSwECFAAUAAAACACHTuJAMy8FnjsA&#10;AAA5AAAAEAAAAAAAAAABACAAAAAJAQAAZHJzL3NoYXBleG1sLnhtbFBLBQYAAAAABgAGAFsBAACz&#10;AwAAAAA=&#10;">
                      <v:fill on="t" focussize="0,0"/>
                      <v:stroke weight="3.25pt" color="#4472C4 [3204]" miterlimit="8" joinstyle="miter"/>
                      <v:imagedata o:title=""/>
                      <o:lock v:ext="edit" aspectratio="f"/>
                    </v:line>
                    <v:line id="直接连接符 39" o:spid="_x0000_s1026" o:spt="20" style="position:absolute;left:973;top:184120;height:1227;width:15;" fillcolor="#4472C4" filled="t" stroked="t" coordsize="21600,21600" o:gfxdata="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hNOfIvQAA&#10;ANsAAAAPAAAAAAAAAAEAIAAAACIAAABkcnMvZG93bnJldi54bWxQSwECFAAUAAAACACHTuJAMy8F&#10;njsAAAA5AAAAEAAAAAAAAAABACAAAAAMAQAAZHJzL3NoYXBleG1sLnhtbFBLBQYAAAAABgAGAFsB&#10;AAC2AwAAAAA=&#10;">
                      <v:fill on="t" focussize="0,0"/>
                      <v:stroke weight="3.25pt" color="#4472C4 [3204]" miterlimit="8" joinstyle="miter"/>
                      <v:imagedata o:title=""/>
                      <o:lock v:ext="edit" aspectratio="f"/>
                    </v:line>
                    <v:line id="直接连接符 40" o:spid="_x0000_s1026" o:spt="20" style="position:absolute;left:987;top:185312;flip:y;height:1;width:300;" fillcolor="#4472C4" filled="t" stroked="t" coordsize="21600,21600" o:gfxdata="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sRWxhvQAA&#10;ANsAAAAPAAAAAAAAAAEAIAAAACIAAABkcnMvZG93bnJldi54bWxQSwECFAAUAAAACACHTuJAMy8F&#10;njsAAAA5AAAAEAAAAAAAAAABACAAAAAMAQAAZHJzL3NoYXBleG1sLnhtbFBLBQYAAAAABgAGAFsB&#10;AAC2AwAAAAA=&#10;">
                      <v:fill on="t" focussize="0,0"/>
                      <v:stroke weight="3.25pt" color="#4472C4 [3204]" miterlimit="8" joinstyle="miter"/>
                      <v:imagedata o:title=""/>
                      <o:lock v:ext="edit" aspectratio="f"/>
                    </v:line>
                    <v:shape id="等腰三角形 41" o:spid="_x0000_s1026" o:spt="5" type="#_x0000_t5" style="position:absolute;left:1213;top:185238;height:120;width:201;rotation:5898240f;v-text-anchor:middle;" fillcolor="#4472C4" filled="t" stroked="f" coordsize="21600,21600" o:gfxdata="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b9zwG/&#10;AAAA2wAAAA8AAAAAAAAAAQAgAAAAIgAAAGRycy9kb3ducmV2LnhtbFBLAQIUABQAAAAIAIdO4kAz&#10;LwWeOwAAADkAAAAQAAAAAAAAAAEAIAAAAA4BAABkcnMvc2hhcGV4bWwueG1sUEsFBgAAAAAGAAYA&#10;WwEAALgDAAAAAA==&#10;" adj="11179">
                      <v:fill on="t" focussize="0,0"/>
                      <v:stroke on="f" weight="1pt" miterlimit="8" joinstyle="miter"/>
                      <v:imagedata o:title=""/>
                      <o:lock v:ext="edit" aspectratio="f"/>
                    </v:shape>
                  </v:group>
                </v:group>
                <v:shape id="文本框 56" o:spid="_x0000_s1026" o:spt="202" type="#_x0000_t202" style="position:absolute;left:669925;top:25547;height:417830;width:1310640;" filled="f" stroked="f" coordsize="21600,21600" o:gfxdata="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2cbje/&#10;AAAA2w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pPr>
                          <w:rPr>
                            <w:rFonts w:hAnsi="等线" w:cs="等线"/>
                            <w:b/>
                            <w:bCs/>
                            <w:color w:val="FFFFFF"/>
                            <w:sz w:val="24"/>
                            <w:szCs w:val="24"/>
                          </w:rPr>
                        </w:pPr>
                        <w:r>
                          <w:rPr>
                            <w:rFonts w:hint="eastAsia" w:hAnsi="等线" w:cs="等线"/>
                            <w:b/>
                            <w:bCs/>
                            <w:color w:val="FFFFFF"/>
                            <w:sz w:val="28"/>
                            <w:szCs w:val="28"/>
                          </w:rPr>
                          <w:t>靶向药物解析</w:t>
                        </w:r>
                      </w:p>
                    </w:txbxContent>
                  </v:textbox>
                </v:shape>
              </v:group>
            </w:pict>
          </mc:Fallback>
        </mc:AlternateContent>
      </w:r>
    </w:p>
    <w:p/>
    <w:p/>
    <w:tbl>
      <w:tblPr>
        <w:tblStyle w:val="64"/>
        <w:tblW w:w="10324" w:type="dxa"/>
        <w:jc w:val="center"/>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Layout w:type="fixed"/>
        <w:tblCellMar>
          <w:top w:w="0" w:type="dxa"/>
          <w:left w:w="108" w:type="dxa"/>
          <w:bottom w:w="0" w:type="dxa"/>
          <w:right w:w="108" w:type="dxa"/>
        </w:tblCellMar>
      </w:tblPr>
      <w:tblGrid>
        <w:gridCol w:w="1596"/>
        <w:gridCol w:w="1653"/>
        <w:gridCol w:w="7075"/>
      </w:tblGrid>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95" w:hRule="atLeast"/>
          <w:tblHeader/>
          <w:jc w:val="center"/>
        </w:trPr>
        <w:tc>
          <w:tcPr>
            <w:tcW w:w="1596" w:type="dxa"/>
            <w:tcBorders>
              <w:bottom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药物敏感性</w:t>
            </w:r>
          </w:p>
        </w:tc>
        <w:tc>
          <w:tcPr>
            <w:tcW w:w="1653" w:type="dxa"/>
            <w:tcBorders>
              <w:bottom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药物名称</w:t>
            </w:r>
          </w:p>
        </w:tc>
        <w:tc>
          <w:tcPr>
            <w:tcW w:w="7075" w:type="dxa"/>
            <w:tcBorders>
              <w:bottom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 xml:space="preserve">用药解析</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596" w:type="dxa"/>
            <w:tcBorders>
              <w:tl2br w:val="nil"/>
              <w:tr2bl w:val="nil"/>
            </w:tcBorders>
            <w:shd w:val="clear" w:color="auto" w:fill="F2F2F2"/>
            <w:vAlign w:val="center"/>
            <w:vMerge w:val="continue"/>
          </w:tcPr>
          <w:p>
            <w:pPr>
              <w:widowControl/>
              <w:spacing w:line="360" w:lineRule="auto"/>
              <w:jc w:val="center"/>
              <w:rPr>
                <w:rFonts w:hint="eastAsia" w:hAnsi="等线" w:eastAsia="等线" w:cs="Arial"/>
                <w:b/>
                <w:bCs/>
                <w:color w:val="000000"/>
                <w:sz w:val="18"/>
                <w:szCs w:val="18"/>
                <w:lang w:eastAsia="zh-CN"/>
              </w:rPr>
            </w:pPr>
            <w:r>
              <w:rPr>
                <w:rFonts w:hint="eastAsia" w:hAnsi="等线" w:cs="Arial"/>
                <w:b/>
                <w:bCs/>
                <w:color w:val="000000"/>
                <w:sz w:val="18"/>
                <w:szCs w:val="18"/>
                <w:lang w:bidi="ar"/>
              </w:rPr>
              <w:t xml:space="preserve"/>
            </w:r>
          </w:p>
        </w:tc>
        <w:tc>
          <w:tcPr>
            <w:tcW w:w="1653" w:type="dxa"/>
            <w:tcBorders>
              <w:tl2br w:val="nil"/>
              <w:tr2bl w:val="nil"/>
            </w:tcBorders>
            <w:shd w:val="clear" w:color="auto" w:fill="F2F2F2"/>
            <w:vAlign w:val="center"/>
          </w:tcPr>
          <w:p>
            <w:pPr>
              <w:widowControl/>
              <w:spacing w:line="360" w:lineRule="auto"/>
              <w:jc w:val="center"/>
              <w:rPr>
                <w:rFonts w:hint="eastAsia" w:hAnsi="等线" w:eastAsia="等线" w:cs="Arial"/>
                <w:b/>
                <w:bCs/>
                <w:color w:val="000000"/>
                <w:sz w:val="18"/>
                <w:szCs w:val="18"/>
                <w:lang w:eastAsia="zh-CN"/>
              </w:rPr>
            </w:pPr>
            <w:r>
              <w:rPr>
                <w:rFonts w:hint="eastAsia" w:hAnsi="等线" w:cs="Arial"/>
                <w:color w:val="000000"/>
                <w:sz w:val="18"/>
                <w:szCs w:val="18"/>
                <w:lang w:bidi="ar"/>
              </w:rPr>
              <w:t xml:space="preserve">考比替尼</w:t>
            </w:r>
          </w:p>
        </w:tc>
        <w:tc>
          <w:tcPr>
            <w:tcW w:w="7075" w:type="dxa"/>
            <w:tcBorders>
              <w:tl2br w:val="nil"/>
              <w:tr2bl w:val="nil"/>
            </w:tcBorders>
            <w:shd w:val="clear" w:color="auto" w:fill="F2F2F2"/>
            <w:vAlign w:val="center"/>
          </w:tcPr>
          <w:p>
            <w:pPr>
              <w:widowControl/>
              <w:jc w:val="left"/>
              <w:rPr>
                <w:rFonts w:hint="eastAsia" w:hAnsi="等线" w:eastAsia="等线" w:cs="Arial"/>
                <w:b/>
                <w:bCs/>
                <w:color w:val="000000"/>
                <w:sz w:val="18"/>
                <w:szCs w:val="18"/>
                <w:lang w:eastAsia="zh-CN"/>
              </w:rPr>
            </w:pPr>
            <w:r>
              <w:rPr>
                <w:rFonts w:hint="eastAsia" w:hAnsi="等线" w:cs="Arial"/>
                <w:color w:val="000000"/>
                <w:sz w:val="18"/>
                <w:szCs w:val="18"/>
                <w:lang w:bidi="ar"/>
              </w:rPr>
              <w:t xml:space="preserve">COTELLIC是一种激酶抑制剂，其适应症为联合维莫非尼用于治疗携带BRAF V600E或V600K突变的不可切除性或转移性黑色素瘤。\\考比替尼(Cobimetinib)是一种靶向有丝分裂原活化蛋白激酶（MAPK）/细胞外信号调节激酶1（MEK1）和MEK2的可逆抑制剂。MEK蛋白是细胞外信号调节激酶(ERK)通路的上游调控蛋白，该通路可促进细胞增殖。BRAF V600E和K突变导致包括MEK1和MEK2在内的BRAF途径的组成性激活。在移植表达BRAF V600E肿瘤细胞系的小鼠中，考比替尼(Cobimetinib)抑制了肿瘤细胞的生长。考比替尼(Cobimetinib)和维罗非尼(Vemurafenib)靶向RAS/RAF/MEK/ERK通路的两种不同激酶。与单独使用这两种药物相比，考比替尼(Cobimetinib)和维罗非尼(Vemurafenib)联合用药在体外可增加细胞凋亡，在植入表达BRAF V600E突变的肿瘤细胞系的小鼠中可抑制肿瘤生长。此外,在小鼠肿瘤细胞移植模型中,考比替尼(Cobimetinib)还可以阻止维罗非尼(Vemurafenib)介导的野生型BRAF肿瘤细胞系的生长。</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596" w:type="dxa"/>
            <w:tcBorders>
              <w:tl2br w:val="nil"/>
              <w:tr2bl w:val="nil"/>
            </w:tcBorders>
            <w:shd w:val="clear" w:color="auto" w:fill="F2F2F2"/>
            <w:vAlign w:val="center"/>
            <w:vMerge w:val="continue"/>
          </w:tcPr>
          <w:p>
            <w:pPr>
              <w:widowControl/>
              <w:spacing w:line="360" w:lineRule="auto"/>
              <w:jc w:val="center"/>
              <w:rPr>
                <w:rFonts w:hint="eastAsia" w:hAnsi="等线" w:eastAsia="等线" w:cs="Arial"/>
                <w:b/>
                <w:bCs/>
                <w:color w:val="000000"/>
                <w:sz w:val="18"/>
                <w:szCs w:val="18"/>
                <w:lang w:eastAsia="zh-CN"/>
              </w:rPr>
            </w:pPr>
            <w:r>
              <w:rPr>
                <w:rFonts w:hint="eastAsia" w:hAnsi="等线" w:cs="Arial"/>
                <w:b/>
                <w:bCs/>
                <w:color w:val="000000"/>
                <w:sz w:val="18"/>
                <w:szCs w:val="18"/>
                <w:lang w:bidi="ar"/>
              </w:rPr>
              <w:t xml:space="preserve"/>
            </w:r>
          </w:p>
        </w:tc>
        <w:tc>
          <w:tcPr>
            <w:tcW w:w="1653" w:type="dxa"/>
            <w:tcBorders>
              <w:tl2br w:val="nil"/>
              <w:tr2bl w:val="nil"/>
            </w:tcBorders>
            <w:shd w:val="clear" w:color="auto" w:fill="F2F2F2"/>
            <w:vAlign w:val="center"/>
          </w:tcPr>
          <w:p>
            <w:pPr>
              <w:widowControl/>
              <w:spacing w:line="360" w:lineRule="auto"/>
              <w:jc w:val="center"/>
              <w:rPr>
                <w:rFonts w:hint="eastAsia" w:hAnsi="等线" w:eastAsia="等线" w:cs="Arial"/>
                <w:b/>
                <w:bCs/>
                <w:color w:val="000000"/>
                <w:sz w:val="18"/>
                <w:szCs w:val="18"/>
                <w:lang w:eastAsia="zh-CN"/>
              </w:rPr>
            </w:pPr>
            <w:r>
              <w:rPr>
                <w:rFonts w:hint="eastAsia" w:hAnsi="等线" w:cs="Arial"/>
                <w:color w:val="000000"/>
                <w:sz w:val="18"/>
                <w:szCs w:val="18"/>
                <w:lang w:bidi="ar"/>
              </w:rPr>
              <w:t xml:space="preserve">曲美替尼</w:t>
            </w:r>
          </w:p>
        </w:tc>
        <w:tc>
          <w:tcPr>
            <w:tcW w:w="7075" w:type="dxa"/>
            <w:tcBorders>
              <w:tl2br w:val="nil"/>
              <w:tr2bl w:val="nil"/>
            </w:tcBorders>
            <w:shd w:val="clear" w:color="auto" w:fill="F2F2F2"/>
            <w:vAlign w:val="center"/>
          </w:tcPr>
          <w:p>
            <w:pPr>
              <w:widowControl/>
              <w:jc w:val="left"/>
              <w:rPr>
                <w:rFonts w:hint="eastAsia" w:hAnsi="等线" w:eastAsia="等线" w:cs="Arial"/>
                <w:b/>
                <w:bCs/>
                <w:color w:val="000000"/>
                <w:sz w:val="18"/>
                <w:szCs w:val="18"/>
                <w:lang w:eastAsia="zh-CN"/>
              </w:rPr>
            </w:pPr>
            <w:r>
              <w:rPr>
                <w:rFonts w:hint="eastAsia" w:hAnsi="等线" w:cs="Arial"/>
                <w:color w:val="000000"/>
                <w:sz w:val="18"/>
                <w:szCs w:val="18"/>
                <w:lang w:bidi="ar"/>
              </w:rPr>
              <w:t xml:space="preserve">MEKINIST是一种激酶抑制剂，其适应症为：1.单药用于治疗携带BRAF V600E或V600K突变的不可切除性或转移性黑色素瘤。2.联合达拉菲尼用于：(1)携带BRAF V600E或V600K突变的不可切除性或转移性黑色素瘤。(2)携带BRAF V600E或V600K突变且完全切除后累及淋巴结的黑色素瘤患者的辅助治疗。(3)携带BRAF V600E突变的转移性非小细胞肺癌(NSCLC)。(4)没有令人满意的局部区域治疗选择的BRAF V600E突变的局部晚期或转移性间变性甲状腺癌(ATC)。(5)携带BRAF V600E突变的不可切除或转移性实体瘤成人和6岁及以上的儿童患者的治疗，且这些患者在之前的治疗后进展，没有满意的替代治疗方案。（6）需要接受系统治疗并携带BRAF V600E突变的低级别胶质瘤( LGG )患者（1岁及以上）。\\曲美替尼（Trametinib）是有丝分裂原激活的细胞外信号调节激酶1（MEK1）和MEK2激活以及MEK1和MEK2激酶活性的可逆抑制剂。MEK蛋白是细胞外信号相关激酶（ERK）途径的上游调控因子，可促进细胞增殖。BRAF V600E突变导致包括MEK1和MEK2在内的BRAF途径的组成性激活。曲美替尼（Trametinib）在体外和体内抑制各种BRAF V600突变阳性肿瘤细胞的生长。曲美替尼（Trametinib）和达拉非尼（Dabrafenib）靶向RAS/RAF/MEK/ERK通路中的两种不同激酶。与单独使用这两种药物相比，曲美替尼（Trametinib）和达拉非尼（Dabrafenib）联合用药可加强对BRAF V600突变阳性肿瘤细胞系生长的抑制作用，并延长对BRAF V600突变阳性肿瘤异种移植物肿瘤生长的抑制作用。</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596" w:type="dxa"/>
            <w:tcBorders>
              <w:tl2br w:val="nil"/>
              <w:tr2bl w:val="nil"/>
            </w:tcBorders>
            <w:shd w:val="clear" w:color="auto" w:fill="F2F2F2"/>
            <w:vAlign w:val="center"/>
            <w:vMerge w:val="continue"/>
          </w:tcPr>
          <w:p>
            <w:pPr>
              <w:widowControl/>
              <w:spacing w:line="360" w:lineRule="auto"/>
              <w:jc w:val="center"/>
              <w:rPr>
                <w:rFonts w:hint="eastAsia" w:hAnsi="等线" w:eastAsia="等线" w:cs="Arial"/>
                <w:b/>
                <w:bCs/>
                <w:color w:val="000000"/>
                <w:sz w:val="18"/>
                <w:szCs w:val="18"/>
                <w:lang w:eastAsia="zh-CN"/>
              </w:rPr>
            </w:pPr>
            <w:r>
              <w:rPr>
                <w:rFonts w:hint="eastAsia" w:hAnsi="等线" w:cs="Arial"/>
                <w:b/>
                <w:bCs/>
                <w:color w:val="000000"/>
                <w:sz w:val="18"/>
                <w:szCs w:val="18"/>
                <w:lang w:bidi="ar"/>
              </w:rPr>
              <w:t xml:space="preserve"/>
            </w:r>
          </w:p>
        </w:tc>
        <w:tc>
          <w:tcPr>
            <w:tcW w:w="1653" w:type="dxa"/>
            <w:tcBorders>
              <w:tl2br w:val="nil"/>
              <w:tr2bl w:val="nil"/>
            </w:tcBorders>
            <w:shd w:val="clear" w:color="auto" w:fill="F2F2F2"/>
            <w:vAlign w:val="center"/>
          </w:tcPr>
          <w:p>
            <w:pPr>
              <w:widowControl/>
              <w:spacing w:line="360" w:lineRule="auto"/>
              <w:jc w:val="center"/>
              <w:rPr>
                <w:rFonts w:hint="eastAsia" w:hAnsi="等线" w:eastAsia="等线" w:cs="Arial"/>
                <w:b/>
                <w:bCs/>
                <w:color w:val="000000"/>
                <w:sz w:val="18"/>
                <w:szCs w:val="18"/>
                <w:lang w:eastAsia="zh-CN"/>
              </w:rPr>
            </w:pPr>
            <w:r>
              <w:rPr>
                <w:rFonts w:hint="eastAsia" w:hAnsi="等线" w:cs="Arial"/>
                <w:color w:val="000000"/>
                <w:sz w:val="18"/>
                <w:szCs w:val="18"/>
                <w:lang w:bidi="ar"/>
              </w:rPr>
              <w:t xml:space="preserve">贝美替尼</w:t>
            </w:r>
          </w:p>
        </w:tc>
        <w:tc>
          <w:tcPr>
            <w:tcW w:w="7075" w:type="dxa"/>
            <w:tcBorders>
              <w:tl2br w:val="nil"/>
              <w:tr2bl w:val="nil"/>
            </w:tcBorders>
            <w:shd w:val="clear" w:color="auto" w:fill="F2F2F2"/>
            <w:vAlign w:val="center"/>
          </w:tcPr>
          <w:p>
            <w:pPr>
              <w:widowControl/>
              <w:jc w:val="left"/>
              <w:rPr>
                <w:rFonts w:hint="eastAsia" w:hAnsi="等线" w:eastAsia="等线" w:cs="Arial"/>
                <w:b/>
                <w:bCs/>
                <w:color w:val="000000"/>
                <w:sz w:val="18"/>
                <w:szCs w:val="18"/>
                <w:lang w:eastAsia="zh-CN"/>
              </w:rPr>
            </w:pPr>
            <w:r>
              <w:rPr>
                <w:rFonts w:hint="eastAsia" w:hAnsi="等线" w:cs="Arial"/>
                <w:color w:val="000000"/>
                <w:sz w:val="18"/>
                <w:szCs w:val="18"/>
                <w:lang w:bidi="ar"/>
              </w:rPr>
              <w:t xml:space="preserve">MEKTOVI是一种激酶抑制剂，联合康奈非尼用于治疗BRAF V600E或V600K突变的不可切除性或转移性黑色素瘤。\\贝美替尼(Binimetinib)是一种有丝分裂原激活的细胞外信号调节激酶1（MEK1）和MEK2活性的可逆抑制剂。MEK蛋白是细胞外信号相关激酶（ERK）途径的上游调控蛋白。在体外，贝美替尼(Binimetinib)在非细胞试验中能抑制细胞外信号相关激酶(ERK)的磷酸化，并抑制了BRAF突变型人黑素瘤细胞系的活力和MEK依赖性磷酸化。在BRAF突变的小鼠异种移植瘤模型中，贝美替尼(Binimetinib)也能抑制体内ERK磷酸化和肿瘤生长。贝美替尼(Binimetinib)和康奈非尼(Encorafenib)靶向RAS/RAF/MEK/ERK通路的两种不同激酶。与单独使用任何一种药物相比，康奈非尼(Encorafenib)和贝美替尼(Binimetinib)联合用药在体外对BRAF突变阳性细胞系产生更强的抗增殖活性，且在BRAF V600E突变型人类黑色素瘤小鼠异种移植研究中，对肿瘤生长抑制显示出更强的抗肿瘤活性。此外，与单独使用两种药物相比，联合使用贝美替尼(Binimetinib)和康奈非尼(Encorafenib)延缓了BRAF V600E突变型人黑色素瘤小鼠异种移植瘤模型耐药性的出现。</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596" w:type="dxa"/>
            <w:tcBorders>
              <w:tl2br w:val="nil"/>
              <w:tr2bl w:val="nil"/>
            </w:tcBorders>
            <w:shd w:val="clear" w:color="auto" w:fill="F2F2F2"/>
            <w:vAlign w:val="center"/>
            <w:vMerge w:val="continue"/>
          </w:tcPr>
          <w:p>
            <w:pPr>
              <w:widowControl/>
              <w:spacing w:line="360" w:lineRule="auto"/>
              <w:jc w:val="center"/>
              <w:rPr>
                <w:rFonts w:hint="eastAsia" w:hAnsi="等线" w:eastAsia="等线" w:cs="Arial"/>
                <w:b/>
                <w:bCs/>
                <w:color w:val="000000"/>
                <w:sz w:val="18"/>
                <w:szCs w:val="18"/>
                <w:lang w:eastAsia="zh-CN"/>
              </w:rPr>
            </w:pPr>
            <w:r>
              <w:rPr>
                <w:rFonts w:hint="eastAsia" w:hAnsi="等线" w:cs="Arial"/>
                <w:b/>
                <w:bCs/>
                <w:color w:val="000000"/>
                <w:sz w:val="18"/>
                <w:szCs w:val="18"/>
                <w:lang w:bidi="ar"/>
              </w:rPr>
              <w:t xml:space="preserve"/>
            </w:r>
          </w:p>
        </w:tc>
        <w:tc>
          <w:tcPr>
            <w:tcW w:w="1653" w:type="dxa"/>
            <w:tcBorders>
              <w:tl2br w:val="nil"/>
              <w:tr2bl w:val="nil"/>
            </w:tcBorders>
            <w:shd w:val="clear" w:color="auto" w:fill="F2F2F2"/>
            <w:vAlign w:val="center"/>
          </w:tcPr>
          <w:p>
            <w:pPr>
              <w:widowControl/>
              <w:spacing w:line="360" w:lineRule="auto"/>
              <w:jc w:val="center"/>
              <w:rPr>
                <w:rFonts w:hint="eastAsia" w:hAnsi="等线" w:eastAsia="等线" w:cs="Arial"/>
                <w:b/>
                <w:bCs/>
                <w:color w:val="000000"/>
                <w:sz w:val="18"/>
                <w:szCs w:val="18"/>
                <w:lang w:eastAsia="zh-CN"/>
              </w:rPr>
            </w:pPr>
            <w:r>
              <w:rPr>
                <w:rFonts w:hint="eastAsia" w:hAnsi="等线" w:cs="Arial"/>
                <w:color w:val="000000"/>
                <w:sz w:val="18"/>
                <w:szCs w:val="18"/>
                <w:lang w:bidi="ar"/>
              </w:rPr>
              <w:t xml:space="preserve">RLY-2608</w:t>
            </w:r>
          </w:p>
        </w:tc>
        <w:tc>
          <w:tcPr>
            <w:tcW w:w="7075" w:type="dxa"/>
            <w:tcBorders>
              <w:tl2br w:val="nil"/>
              <w:tr2bl w:val="nil"/>
            </w:tcBorders>
            <w:shd w:val="clear" w:color="auto" w:fill="F2F2F2"/>
            <w:vAlign w:val="center"/>
          </w:tcPr>
          <w:p>
            <w:pPr>
              <w:widowControl/>
              <w:jc w:val="left"/>
              <w:rPr>
                <w:rFonts w:hint="eastAsia" w:hAnsi="等线" w:eastAsia="等线" w:cs="Arial"/>
                <w:b/>
                <w:bCs/>
                <w:color w:val="000000"/>
                <w:sz w:val="18"/>
                <w:szCs w:val="18"/>
                <w:lang w:eastAsia="zh-CN"/>
              </w:rPr>
            </w:pPr>
            <w:r>
              <w:rPr>
                <w:rFonts w:hint="eastAsia" w:hAnsi="等线" w:cs="Arial"/>
                <w:color w:val="000000"/>
                <w:sz w:val="18"/>
                <w:szCs w:val="18"/>
                <w:lang w:bidi="ar"/>
              </w:rPr>
              <w:t xml:space="preserve">RLY-2608是一种新型变构、泛突变、选择性PI3Kα抑制剂,一项临床I期研究正在评估RLY-2608作为单药在PI3KCA突变的晚期实体瘤患者( pts )中的临床活性，以及联合氟维司群在PIK3CA突变、HR +、HER2 -转移性乳腺癌( MBC )患者中的临床活性。</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596" w:type="dxa"/>
            <w:tcBorders>
              <w:tl2br w:val="nil"/>
              <w:tr2bl w:val="nil"/>
            </w:tcBorders>
            <w:shd w:val="clear" w:color="auto" w:fill="F2F2F2"/>
            <w:vAlign w:val="center"/>
            <w:vMerge w:val="continue"/>
          </w:tcPr>
          <w:p>
            <w:pPr>
              <w:widowControl/>
              <w:spacing w:line="360" w:lineRule="auto"/>
              <w:jc w:val="center"/>
              <w:rPr>
                <w:rFonts w:hint="eastAsia" w:hAnsi="等线" w:eastAsia="等线" w:cs="Arial"/>
                <w:b/>
                <w:bCs/>
                <w:color w:val="000000"/>
                <w:sz w:val="18"/>
                <w:szCs w:val="18"/>
                <w:lang w:eastAsia="zh-CN"/>
              </w:rPr>
            </w:pPr>
            <w:r>
              <w:rPr>
                <w:rFonts w:hint="eastAsia" w:hAnsi="等线" w:cs="Arial"/>
                <w:b/>
                <w:bCs/>
                <w:color w:val="000000"/>
                <w:sz w:val="18"/>
                <w:szCs w:val="18"/>
                <w:lang w:bidi="ar"/>
              </w:rPr>
              <w:t xml:space="preserve"/>
            </w:r>
          </w:p>
        </w:tc>
        <w:tc>
          <w:tcPr>
            <w:tcW w:w="1653" w:type="dxa"/>
            <w:tcBorders>
              <w:tl2br w:val="nil"/>
              <w:tr2bl w:val="nil"/>
            </w:tcBorders>
            <w:shd w:val="clear" w:color="auto" w:fill="F2F2F2"/>
            <w:vAlign w:val="center"/>
          </w:tcPr>
          <w:p>
            <w:pPr>
              <w:widowControl/>
              <w:spacing w:line="360" w:lineRule="auto"/>
              <w:jc w:val="center"/>
              <w:rPr>
                <w:rFonts w:hint="eastAsia" w:hAnsi="等线" w:eastAsia="等线" w:cs="Arial"/>
                <w:b/>
                <w:bCs/>
                <w:color w:val="000000"/>
                <w:sz w:val="18"/>
                <w:szCs w:val="18"/>
                <w:lang w:eastAsia="zh-CN"/>
              </w:rPr>
            </w:pPr>
            <w:r>
              <w:rPr>
                <w:rFonts w:hint="eastAsia" w:hAnsi="等线" w:cs="Arial"/>
                <w:color w:val="000000"/>
                <w:sz w:val="18"/>
                <w:szCs w:val="18"/>
                <w:lang w:bidi="ar"/>
              </w:rPr>
              <w:t xml:space="preserve">阿培利司</w:t>
            </w:r>
          </w:p>
        </w:tc>
        <w:tc>
          <w:tcPr>
            <w:tcW w:w="7075" w:type="dxa"/>
            <w:tcBorders>
              <w:tl2br w:val="nil"/>
              <w:tr2bl w:val="nil"/>
            </w:tcBorders>
            <w:shd w:val="clear" w:color="auto" w:fill="F2F2F2"/>
            <w:vAlign w:val="center"/>
          </w:tcPr>
          <w:p>
            <w:pPr>
              <w:widowControl/>
              <w:jc w:val="left"/>
              <w:rPr>
                <w:rFonts w:hint="eastAsia" w:hAnsi="等线" w:eastAsia="等线" w:cs="Arial"/>
                <w:b/>
                <w:bCs/>
                <w:color w:val="000000"/>
                <w:sz w:val="18"/>
                <w:szCs w:val="18"/>
                <w:lang w:eastAsia="zh-CN"/>
              </w:rPr>
            </w:pPr>
            <w:r>
              <w:rPr>
                <w:rFonts w:hint="eastAsia" w:hAnsi="等线" w:cs="Arial"/>
                <w:color w:val="000000"/>
                <w:sz w:val="18"/>
                <w:szCs w:val="18"/>
                <w:lang w:bidi="ar"/>
              </w:rPr>
              <w:t xml:space="preserve">PIQRAY是一种激酶抑制剂，适用于联合氟维司群用于治疗既往接受内分泌治疗后疾病进展、携带PIK3CA突变、激素受体(HR)阳性、人表皮生长因子受体2 (HER2)阴性的绝经后妇女和男性晚期或转移性乳腺癌。\\阿培利司（Alpelisib）是PI3Kα的抑制剂，主要具有针对PI3Kα的抑制活性。在体外和体内模型中，PIK3CA基因的获得性突变将导致PI3Kα和Akt信号通路的激活，从而使细胞性状发生转化以及促使肿瘤的产生。在乳腺癌细胞系中，阿培利司（Alpelisib）抑制PI3K下游靶标（包括Akt）的磷酸化，并在具有PIK3CA突变的细胞系中显示出活性。在体内，阿培利司（Alpelisib）在移植瘤模型（包括乳腺癌模型）中抑制PI3K/Akt信号通路并降低肿瘤生长。通过阿培利司（Alpelisib）治疗抑制PI3K已显示出可诱导乳腺癌细胞中雌激素受体（ER）转录的增加。在ER阳性、PIK3CA突变的乳腺癌细胞系的移植瘤模型中，阿培利司（Alpelisib）和氟维司琼（Fulvestrant）联合治疗显示出较单一治疗更强的抗肿瘤活性。</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596" w:type="dxa"/>
            <w:tcBorders>
              <w:tl2br w:val="nil"/>
              <w:tr2bl w:val="nil"/>
            </w:tcBorders>
            <w:shd w:val="clear" w:color="auto" w:fill="F2F2F2"/>
            <w:vAlign w:val="center"/>
            <w:vMerge w:val="continue"/>
          </w:tcPr>
          <w:p>
            <w:pPr>
              <w:widowControl/>
              <w:spacing w:line="360" w:lineRule="auto"/>
              <w:jc w:val="center"/>
              <w:rPr>
                <w:rFonts w:hint="eastAsia" w:hAnsi="等线" w:eastAsia="等线" w:cs="Arial"/>
                <w:b/>
                <w:bCs/>
                <w:color w:val="000000"/>
                <w:sz w:val="18"/>
                <w:szCs w:val="18"/>
                <w:lang w:eastAsia="zh-CN"/>
              </w:rPr>
            </w:pPr>
            <w:r>
              <w:rPr>
                <w:rFonts w:hint="eastAsia" w:hAnsi="等线" w:cs="Arial"/>
                <w:b/>
                <w:bCs/>
                <w:color w:val="000000"/>
                <w:sz w:val="18"/>
                <w:szCs w:val="18"/>
                <w:lang w:bidi="ar"/>
              </w:rPr>
              <w:t xml:space="preserve"/>
            </w:r>
          </w:p>
        </w:tc>
        <w:tc>
          <w:tcPr>
            <w:tcW w:w="1653" w:type="dxa"/>
            <w:tcBorders>
              <w:tl2br w:val="nil"/>
              <w:tr2bl w:val="nil"/>
            </w:tcBorders>
            <w:shd w:val="clear" w:color="auto" w:fill="F2F2F2"/>
            <w:vAlign w:val="center"/>
          </w:tcPr>
          <w:p>
            <w:pPr>
              <w:widowControl/>
              <w:spacing w:line="360" w:lineRule="auto"/>
              <w:jc w:val="center"/>
              <w:rPr>
                <w:rFonts w:hint="eastAsia" w:hAnsi="等线" w:eastAsia="等线" w:cs="Arial"/>
                <w:b/>
                <w:bCs/>
                <w:color w:val="000000"/>
                <w:sz w:val="18"/>
                <w:szCs w:val="18"/>
                <w:lang w:eastAsia="zh-CN"/>
              </w:rPr>
            </w:pPr>
            <w:r>
              <w:rPr>
                <w:rFonts w:hint="eastAsia" w:hAnsi="等线" w:cs="Arial"/>
                <w:color w:val="000000"/>
                <w:sz w:val="18"/>
                <w:szCs w:val="18"/>
                <w:lang w:bidi="ar"/>
              </w:rPr>
              <w:t xml:space="preserve">贝伐珠单抗</w:t>
            </w:r>
          </w:p>
        </w:tc>
        <w:tc>
          <w:tcPr>
            <w:tcW w:w="7075" w:type="dxa"/>
            <w:tcBorders>
              <w:tl2br w:val="nil"/>
              <w:tr2bl w:val="nil"/>
            </w:tcBorders>
            <w:shd w:val="clear" w:color="auto" w:fill="F2F2F2"/>
            <w:vAlign w:val="center"/>
          </w:tcPr>
          <w:p>
            <w:pPr>
              <w:widowControl/>
              <w:jc w:val="left"/>
              <w:rPr>
                <w:rFonts w:hint="eastAsia" w:hAnsi="等线" w:eastAsia="等线" w:cs="Arial"/>
                <w:b/>
                <w:bCs/>
                <w:color w:val="000000"/>
                <w:sz w:val="18"/>
                <w:szCs w:val="18"/>
                <w:lang w:eastAsia="zh-CN"/>
              </w:rPr>
            </w:pPr>
            <w:r>
              <w:rPr>
                <w:rFonts w:hint="eastAsia" w:hAnsi="等线" w:cs="Arial"/>
                <w:color w:val="000000"/>
                <w:sz w:val="18"/>
                <w:szCs w:val="18"/>
                <w:lang w:bidi="ar"/>
              </w:rPr>
              <w:t xml:space="preserve">Avastin是一种血管内皮生长因子抑制剂，其适应症为：1.与基于氟尿嘧啶的静脉化疗联合用于转移性结直肠癌的一线或二线治疗。2.与基于氟嘧啶-伊立替康或氟嘧啶-奥沙利铂的化疗联合用于含Avastin一线方案治疗后疾病进展的转移性结直肠癌的二线治疗。3.与卡铂、紫杉醇联合用于不可切除的、局部晚期、复发性或转移性非鳞状非小细胞肺癌的一线治疗。4.成人复发性胶质母细胞瘤。5.联合干扰素α用于治疗转移性肾细胞癌。6.与紫杉醇、顺铂或紫杉醇、拓扑替康联合，用于治疗持续性、复发性或转移性宫颈癌。7.上皮性卵巢癌、输卵管癌或原发性腹膜癌：(1)与卡铂和紫杉醇联合，然后使用Avastin单药，用于治疗首次手术切除后的III期或IV期疾病。(2)与紫杉醇、聚乙二醇脂质体多柔比星或拓扑替康联合，用于治疗既往接受不超过2个化疗方案的铂耐复发性疾病。(3)与卡铂、紫杉醇或卡铂、吉西他滨联合，然后使用Avastin单药，用于治疗铂敏感复发性疾病。8.与Atezolizumab联合用于治疗既往未接受过全身治疗的不可切除或转移性肝细胞癌(HCC)患者。\\Bevacizumab结合VEGF并阻止VEGF与其内皮细胞表面的受体(Flt-1和KDR)相互作用。在体外血管生成模型中，VEGF与其受体的相互作用导致内皮细胞增殖和新血管形成。在裸鼠结肠癌异种移植模型中给予贝伐单抗，导致微血管生长减少和转移疾病进展的抑制。</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596" w:type="dxa"/>
            <w:tcBorders>
              <w:tl2br w:val="nil"/>
              <w:tr2bl w:val="nil"/>
            </w:tcBorders>
            <w:shd w:val="clear" w:color="auto" w:fill="F2F2F2"/>
            <w:vAlign w:val="center"/>
            <w:vMerge w:val="continue"/>
          </w:tcPr>
          <w:p>
            <w:pPr>
              <w:widowControl/>
              <w:spacing w:line="360" w:lineRule="auto"/>
              <w:jc w:val="center"/>
              <w:rPr>
                <w:rFonts w:hint="eastAsia" w:hAnsi="等线" w:eastAsia="等线" w:cs="Arial"/>
                <w:b/>
                <w:bCs/>
                <w:color w:val="000000"/>
                <w:sz w:val="18"/>
                <w:szCs w:val="18"/>
                <w:lang w:eastAsia="zh-CN"/>
              </w:rPr>
            </w:pPr>
            <w:r>
              <w:rPr>
                <w:rFonts w:hint="eastAsia" w:hAnsi="等线" w:cs="Arial"/>
                <w:b/>
                <w:bCs/>
                <w:color w:val="000000"/>
                <w:sz w:val="18"/>
                <w:szCs w:val="18"/>
                <w:lang w:bidi="ar"/>
              </w:rPr>
              <w:t xml:space="preserve"/>
            </w:r>
          </w:p>
        </w:tc>
        <w:tc>
          <w:tcPr>
            <w:tcW w:w="1653" w:type="dxa"/>
            <w:tcBorders>
              <w:tl2br w:val="nil"/>
              <w:tr2bl w:val="nil"/>
            </w:tcBorders>
            <w:shd w:val="clear" w:color="auto" w:fill="F2F2F2"/>
            <w:vAlign w:val="center"/>
          </w:tcPr>
          <w:p>
            <w:pPr>
              <w:widowControl/>
              <w:spacing w:line="360" w:lineRule="auto"/>
              <w:jc w:val="center"/>
              <w:rPr>
                <w:rFonts w:hint="eastAsia" w:hAnsi="等线" w:eastAsia="等线" w:cs="Arial"/>
                <w:b/>
                <w:bCs/>
                <w:color w:val="000000"/>
                <w:sz w:val="18"/>
                <w:szCs w:val="18"/>
                <w:lang w:eastAsia="zh-CN"/>
              </w:rPr>
            </w:pPr>
            <w:r>
              <w:rPr>
                <w:rFonts w:hint="eastAsia" w:hAnsi="等线" w:cs="Arial"/>
                <w:color w:val="000000"/>
                <w:sz w:val="18"/>
                <w:szCs w:val="18"/>
                <w:lang w:bidi="ar"/>
              </w:rPr>
              <w:t xml:space="preserve">培唑帕尼</w:t>
            </w:r>
          </w:p>
        </w:tc>
        <w:tc>
          <w:tcPr>
            <w:tcW w:w="7075" w:type="dxa"/>
            <w:tcBorders>
              <w:tl2br w:val="nil"/>
              <w:tr2bl w:val="nil"/>
            </w:tcBorders>
            <w:shd w:val="clear" w:color="auto" w:fill="F2F2F2"/>
            <w:vAlign w:val="center"/>
          </w:tcPr>
          <w:p>
            <w:pPr>
              <w:widowControl/>
              <w:jc w:val="left"/>
              <w:rPr>
                <w:rFonts w:hint="eastAsia" w:hAnsi="等线" w:eastAsia="等线" w:cs="Arial"/>
                <w:b/>
                <w:bCs/>
                <w:color w:val="000000"/>
                <w:sz w:val="18"/>
                <w:szCs w:val="18"/>
                <w:lang w:eastAsia="zh-CN"/>
              </w:rPr>
            </w:pPr>
            <w:r>
              <w:rPr>
                <w:rFonts w:hint="eastAsia" w:hAnsi="等线" w:cs="Arial"/>
                <w:color w:val="000000"/>
                <w:sz w:val="18"/>
                <w:szCs w:val="18"/>
                <w:lang w:bidi="ar"/>
              </w:rPr>
              <w:t xml:space="preserve">VOTRIENT是一种激酶抑制剂，适用于晚期肾细胞癌(RCC)和既往接受过化疗的晚期软组织肉瘤(STS)成人患者。\\培唑帕尼（Pazopanib）是血管内皮生长因子受体（VEGFR）-1/2/3，血小板衍生生长因子受体（PDGFR）-α/β，成纤维细胞生长因子受体（FGFR）-1/3，细胞因子受体（Kit），白介素2受体诱导的T细胞激酶（Itk），淋巴细胞特异性蛋白酪氨酸激酶（Lck）和跨膜糖蛋白受体酪氨酸激酶（c-Fms）的多靶点酪氨酸激酶抑制剂。 在体外，培唑帕尼（Pazopanib）抑制配体诱导的VEGFR-2、Kit和PDGFR-β受体自身磷酸化。 在体内，培唑帕尼（Pazopanib）抑制小鼠肺中VEGF诱导的VEGFR-2磷酸化、小鼠模型的血管生成以及小鼠中某些人源肿瘤异种移植物的生长。</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596" w:type="dxa"/>
            <w:tcBorders>
              <w:tl2br w:val="nil"/>
              <w:tr2bl w:val="nil"/>
            </w:tcBorders>
            <w:shd w:val="clear" w:color="auto" w:fill="F2F2F2"/>
            <w:vAlign w:val="center"/>
            <w:vMerge w:val="continue"/>
          </w:tcPr>
          <w:p>
            <w:pPr>
              <w:widowControl/>
              <w:spacing w:line="360" w:lineRule="auto"/>
              <w:jc w:val="center"/>
              <w:rPr>
                <w:rFonts w:hint="eastAsia" w:hAnsi="等线" w:eastAsia="等线" w:cs="Arial"/>
                <w:b/>
                <w:bCs/>
                <w:color w:val="000000"/>
                <w:sz w:val="18"/>
                <w:szCs w:val="18"/>
                <w:lang w:eastAsia="zh-CN"/>
              </w:rPr>
            </w:pPr>
            <w:r>
              <w:rPr>
                <w:rFonts w:hint="eastAsia" w:hAnsi="等线" w:cs="Arial"/>
                <w:b/>
                <w:bCs/>
                <w:color w:val="000000"/>
                <w:sz w:val="18"/>
                <w:szCs w:val="18"/>
                <w:lang w:bidi="ar"/>
              </w:rPr>
              <w:t xml:space="preserve"/>
            </w:r>
          </w:p>
        </w:tc>
        <w:tc>
          <w:tcPr>
            <w:tcW w:w="1653" w:type="dxa"/>
            <w:tcBorders>
              <w:tl2br w:val="nil"/>
              <w:tr2bl w:val="nil"/>
            </w:tcBorders>
            <w:shd w:val="clear" w:color="auto" w:fill="F2F2F2"/>
            <w:vAlign w:val="center"/>
          </w:tcPr>
          <w:p>
            <w:pPr>
              <w:widowControl/>
              <w:spacing w:line="360" w:lineRule="auto"/>
              <w:jc w:val="center"/>
              <w:rPr>
                <w:rFonts w:hint="eastAsia" w:hAnsi="等线" w:eastAsia="等线" w:cs="Arial"/>
                <w:b/>
                <w:bCs/>
                <w:color w:val="000000"/>
                <w:sz w:val="18"/>
                <w:szCs w:val="18"/>
                <w:lang w:eastAsia="zh-CN"/>
              </w:rPr>
            </w:pPr>
            <w:r>
              <w:rPr>
                <w:rFonts w:hint="eastAsia" w:hAnsi="等线" w:cs="Arial"/>
                <w:color w:val="000000"/>
                <w:sz w:val="18"/>
                <w:szCs w:val="18"/>
                <w:lang w:bidi="ar"/>
              </w:rPr>
              <w:t xml:space="preserve">伏立诺他</w:t>
            </w:r>
          </w:p>
        </w:tc>
        <w:tc>
          <w:tcPr>
            <w:tcW w:w="7075" w:type="dxa"/>
            <w:tcBorders>
              <w:tl2br w:val="nil"/>
              <w:tr2bl w:val="nil"/>
            </w:tcBorders>
            <w:shd w:val="clear" w:color="auto" w:fill="F2F2F2"/>
            <w:vAlign w:val="center"/>
          </w:tcPr>
          <w:p>
            <w:pPr>
              <w:widowControl/>
              <w:jc w:val="left"/>
              <w:rPr>
                <w:rFonts w:hint="eastAsia" w:hAnsi="等线" w:eastAsia="等线" w:cs="Arial"/>
                <w:b/>
                <w:bCs/>
                <w:color w:val="000000"/>
                <w:sz w:val="18"/>
                <w:szCs w:val="18"/>
                <w:lang w:eastAsia="zh-CN"/>
              </w:rPr>
            </w:pPr>
            <w:r>
              <w:rPr>
                <w:rFonts w:hint="eastAsia" w:hAnsi="等线" w:cs="Arial"/>
                <w:color w:val="000000"/>
                <w:sz w:val="18"/>
                <w:szCs w:val="18"/>
                <w:lang w:bidi="ar"/>
              </w:rPr>
              <w:t xml:space="preserve">ZOLINZA是一种组蛋白去乙酰化酶(HDAC)抑制剂，用于治疗在两种全身治疗期间或之后出现进展，持续或复发疾病的的皮肤T细胞淋巴瘤(CTCL)患者的皮肤表现。\\伏立诺他(Vorinostat)可在纳摩尔级浓度下抑制组蛋白脱乙酰基酶HDAC1、HDAC2和HDAC3（I类）和HDAC6（II类）的酶活性（IC50  86 nM）。这些酶催化去除组蛋白赖氨酸残基上的乙酰基基团。在某些肿瘤细胞中，HDACs过表达，或异常募集到致癌的转录因子上，导致核小体核心组蛋白乙酰化不足。伏立诺他(Vorinostat)通过抑制组蛋白脱乙酰基酶来导致乙酰化组蛋白的累积，并诱导某些转化细胞的细胞周期停滞和/或凋亡。伏立诺他(Vorinostat)抗肿瘤作用的机制尚未完全阐明。</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596" w:type="dxa"/>
            <w:tcBorders>
              <w:tl2br w:val="nil"/>
              <w:tr2bl w:val="nil"/>
            </w:tcBorders>
            <w:shd w:val="clear" w:color="auto" w:fill="F2F2F2"/>
            <w:vAlign w:val="center"/>
            <w:vMerge w:val="restart"/>
          </w:tcPr>
          <w:p>
            <w:pPr>
              <w:widowControl/>
              <w:spacing w:line="360" w:lineRule="auto"/>
              <w:jc w:val="center"/>
              <w:rPr>
                <w:rFonts w:hint="eastAsia" w:hAnsi="等线" w:eastAsia="等线" w:cs="Arial"/>
                <w:b/>
                <w:bCs/>
                <w:color w:val="000000"/>
                <w:sz w:val="18"/>
                <w:szCs w:val="18"/>
                <w:lang w:eastAsia="zh-CN"/>
              </w:rPr>
            </w:pPr>
            <w:r>
              <w:rPr>
                <w:rFonts w:hint="eastAsia" w:hAnsi="等线" w:cs="Arial"/>
                <w:b/>
                <w:bCs/>
                <w:color w:val="000000"/>
                <w:sz w:val="18"/>
                <w:szCs w:val="18"/>
                <w:lang w:bidi="ar"/>
              </w:rPr>
              <w:t xml:space="preserve">耐药</w:t>
            </w:r>
          </w:p>
        </w:tc>
        <w:tc>
          <w:tcPr>
            <w:tcW w:w="1653" w:type="dxa"/>
            <w:tcBorders>
              <w:tl2br w:val="nil"/>
              <w:tr2bl w:val="nil"/>
            </w:tcBorders>
            <w:shd w:val="clear" w:color="auto" w:fill="F2F2F2"/>
            <w:vAlign w:val="center"/>
          </w:tcPr>
          <w:p>
            <w:pPr>
              <w:widowControl/>
              <w:spacing w:line="360" w:lineRule="auto"/>
              <w:jc w:val="center"/>
              <w:rPr>
                <w:rFonts w:hint="eastAsia" w:hAnsi="等线" w:eastAsia="等线" w:cs="Arial"/>
                <w:b/>
                <w:bCs/>
                <w:color w:val="000000"/>
                <w:sz w:val="18"/>
                <w:szCs w:val="18"/>
                <w:lang w:eastAsia="zh-CN"/>
              </w:rPr>
            </w:pPr>
            <w:r>
              <w:rPr>
                <w:rFonts w:hint="eastAsia" w:hAnsi="等线" w:cs="Arial"/>
                <w:color w:val="000000"/>
                <w:sz w:val="18"/>
                <w:szCs w:val="18"/>
                <w:lang w:bidi="ar"/>
              </w:rPr>
              <w:t xml:space="preserve">曲妥珠单抗</w:t>
            </w:r>
          </w:p>
        </w:tc>
        <w:tc>
          <w:tcPr>
            <w:tcW w:w="7075" w:type="dxa"/>
            <w:tcBorders>
              <w:tl2br w:val="nil"/>
              <w:tr2bl w:val="nil"/>
            </w:tcBorders>
            <w:shd w:val="clear" w:color="auto" w:fill="F2F2F2"/>
            <w:vAlign w:val="center"/>
          </w:tcPr>
          <w:p>
            <w:pPr>
              <w:widowControl/>
              <w:jc w:val="left"/>
              <w:rPr>
                <w:rFonts w:hint="eastAsia" w:hAnsi="等线" w:eastAsia="等线" w:cs="Arial"/>
                <w:b/>
                <w:bCs/>
                <w:color w:val="000000"/>
                <w:sz w:val="18"/>
                <w:szCs w:val="18"/>
                <w:lang w:eastAsia="zh-CN"/>
              </w:rPr>
            </w:pPr>
            <w:r>
              <w:rPr>
                <w:rFonts w:hint="eastAsia" w:hAnsi="等线" w:cs="Arial"/>
                <w:color w:val="000000"/>
                <w:sz w:val="18"/>
                <w:szCs w:val="18"/>
                <w:lang w:bidi="ar"/>
              </w:rPr>
              <w:t xml:space="preserve">Herceptin是一种HER2/neu受体拮抗剂，其适应症为：1.HER2过表达的乳腺癌。2.HER2过表达的转移性胃或胃食管交界处腺癌。\\HER2（或c-erbB2）原癌基因编码一个185 kDa的跨膜受体蛋白，该蛋白在结构上与表皮生长因子受体有关。曲妥珠单抗/赫赛汀（Trastuzumab/Herceptin）在体外及动物实验中均显示出可抑制HER2过表达肿瘤细胞的增殖。曲妥珠单抗/赫赛汀（Trastuzumab/Herceptin）是抗体依赖性细胞毒性（ADCC）的介体。在体外研究中，与未过表达HER2的癌细胞相比，曲妥珠单抗/赫赛汀（Trastuzumab/Herceptin）介导的ADCC优先作用于过表达HER2的癌细胞。</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596" w:type="dxa"/>
            <w:tcBorders>
              <w:tl2br w:val="nil"/>
              <w:tr2bl w:val="nil"/>
            </w:tcBorders>
            <w:shd w:val="clear" w:color="auto" w:fill="F2F2F2"/>
            <w:vAlign w:val="center"/>
            <w:vMerge w:val="continue"/>
          </w:tcPr>
          <w:p>
            <w:pPr>
              <w:widowControl/>
              <w:spacing w:line="360" w:lineRule="auto"/>
              <w:jc w:val="center"/>
              <w:rPr>
                <w:rFonts w:hint="eastAsia" w:hAnsi="等线" w:eastAsia="等线" w:cs="Arial"/>
                <w:b/>
                <w:bCs/>
                <w:color w:val="000000"/>
                <w:sz w:val="18"/>
                <w:szCs w:val="18"/>
                <w:lang w:eastAsia="zh-CN"/>
              </w:rPr>
            </w:pPr>
            <w:r>
              <w:rPr>
                <w:rFonts w:hint="eastAsia" w:hAnsi="等线" w:cs="Arial"/>
                <w:b/>
                <w:bCs/>
                <w:color w:val="000000"/>
                <w:sz w:val="18"/>
                <w:szCs w:val="18"/>
                <w:lang w:bidi="ar"/>
              </w:rPr>
              <w:t xml:space="preserve"/>
            </w:r>
          </w:p>
        </w:tc>
        <w:tc>
          <w:tcPr>
            <w:tcW w:w="1653" w:type="dxa"/>
            <w:tcBorders>
              <w:tl2br w:val="nil"/>
              <w:tr2bl w:val="nil"/>
            </w:tcBorders>
            <w:shd w:val="clear" w:color="auto" w:fill="F2F2F2"/>
            <w:vAlign w:val="center"/>
          </w:tcPr>
          <w:p>
            <w:pPr>
              <w:widowControl/>
              <w:spacing w:line="360" w:lineRule="auto"/>
              <w:jc w:val="center"/>
              <w:rPr>
                <w:rFonts w:hint="eastAsia" w:hAnsi="等线" w:eastAsia="等线" w:cs="Arial"/>
                <w:b/>
                <w:bCs/>
                <w:color w:val="000000"/>
                <w:sz w:val="18"/>
                <w:szCs w:val="18"/>
                <w:lang w:eastAsia="zh-CN"/>
              </w:rPr>
            </w:pPr>
            <w:r>
              <w:rPr>
                <w:rFonts w:hint="eastAsia" w:hAnsi="等线" w:cs="Arial"/>
                <w:color w:val="000000"/>
                <w:sz w:val="18"/>
                <w:szCs w:val="18"/>
                <w:lang w:bidi="ar"/>
              </w:rPr>
              <w:t xml:space="preserve">帕妥珠单抗</w:t>
            </w:r>
          </w:p>
        </w:tc>
        <w:tc>
          <w:tcPr>
            <w:tcW w:w="7075" w:type="dxa"/>
            <w:tcBorders>
              <w:tl2br w:val="nil"/>
              <w:tr2bl w:val="nil"/>
            </w:tcBorders>
            <w:shd w:val="clear" w:color="auto" w:fill="F2F2F2"/>
            <w:vAlign w:val="center"/>
          </w:tcPr>
          <w:p>
            <w:pPr>
              <w:widowControl/>
              <w:jc w:val="left"/>
              <w:rPr>
                <w:rFonts w:hint="eastAsia" w:hAnsi="等线" w:eastAsia="等线" w:cs="Arial"/>
                <w:b/>
                <w:bCs/>
                <w:color w:val="000000"/>
                <w:sz w:val="18"/>
                <w:szCs w:val="18"/>
                <w:lang w:eastAsia="zh-CN"/>
              </w:rPr>
            </w:pPr>
            <w:r>
              <w:rPr>
                <w:rFonts w:hint="eastAsia" w:hAnsi="等线" w:cs="Arial"/>
                <w:color w:val="000000"/>
                <w:sz w:val="18"/>
                <w:szCs w:val="18"/>
                <w:lang w:bidi="ar"/>
              </w:rPr>
              <w:t xml:space="preserve">PERJETA是一种HER2/neu受体拮抗剂，其适应症为：1.联合曲妥珠单抗和多西紫杉醇用于治疗既往未接受过抗HER2治疗或转移性疾病化疗的HER2阳性转移性乳腺癌(MBC)。2.联合曲妥珠单抗和化疗用于：(1)HER2阳性的局部晚期、炎性或早期乳腺癌(直径大于2cm或淋巴结阳性)的新辅助治疗，作为早期乳腺癌整体治疗方案的一部分。(2)具有复发高风险的HER2阳性早期乳腺癌的辅助治疗。\\帕妥珠单抗（Pertuzumab）靶向细胞外人表皮生长因子受体2蛋白（HER2）的二聚化结构域（子结构域Ⅱ），从而阻断HER2与其它HER家族成员（包括EGFR、HER3和HER4）的配体依赖性异源二聚化作用。结果，帕妥珠单抗（Pertuzumab）通过两条主要信号途径（有丝分裂原激活蛋白[MAP]激酶和磷酸肌醇3激酶[PI3K]）抑制配体启动的细胞内信号传导。这些信号通路的抑制分别导致细胞生长停滞和凋亡。此外，帕妥珠单抗（Pertuzumab）介导抗体依赖性细胞介导的细胞毒性作用（ADCC）。尽管单独使用帕妥珠单抗（Pertuzumab）能抑制人肿瘤细胞的增殖，但在过表达HER2的异种移植模型中，帕妥珠单抗（Pertuzumab）和曲妥珠单抗（Trastuzumab）联合可以增强抗肿瘤活性。</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596" w:type="dxa"/>
            <w:tcBorders>
              <w:tl2br w:val="nil"/>
              <w:tr2bl w:val="nil"/>
            </w:tcBorders>
            <w:shd w:val="clear" w:color="auto" w:fill="F2F2F2"/>
            <w:vAlign w:val="center"/>
            <w:vMerge w:val="continue"/>
          </w:tcPr>
          <w:p>
            <w:pPr>
              <w:widowControl/>
              <w:spacing w:line="360" w:lineRule="auto"/>
              <w:jc w:val="center"/>
              <w:rPr>
                <w:rFonts w:hint="eastAsia" w:hAnsi="等线" w:eastAsia="等线" w:cs="Arial"/>
                <w:b/>
                <w:bCs/>
                <w:color w:val="000000"/>
                <w:sz w:val="18"/>
                <w:szCs w:val="18"/>
                <w:lang w:eastAsia="zh-CN"/>
              </w:rPr>
            </w:pPr>
            <w:r>
              <w:rPr>
                <w:rFonts w:hint="eastAsia" w:hAnsi="等线" w:cs="Arial"/>
                <w:b/>
                <w:bCs/>
                <w:color w:val="000000"/>
                <w:sz w:val="18"/>
                <w:szCs w:val="18"/>
                <w:lang w:bidi="ar"/>
              </w:rPr>
              <w:t xml:space="preserve"/>
            </w:r>
          </w:p>
        </w:tc>
        <w:tc>
          <w:tcPr>
            <w:tcW w:w="1653" w:type="dxa"/>
            <w:tcBorders>
              <w:tl2br w:val="nil"/>
              <w:tr2bl w:val="nil"/>
            </w:tcBorders>
            <w:shd w:val="clear" w:color="auto" w:fill="F2F2F2"/>
            <w:vAlign w:val="center"/>
          </w:tcPr>
          <w:p>
            <w:pPr>
              <w:widowControl/>
              <w:spacing w:line="360" w:lineRule="auto"/>
              <w:jc w:val="center"/>
              <w:rPr>
                <w:rFonts w:hint="eastAsia" w:hAnsi="等线" w:eastAsia="等线" w:cs="Arial"/>
                <w:b/>
                <w:bCs/>
                <w:color w:val="000000"/>
                <w:sz w:val="18"/>
                <w:szCs w:val="18"/>
                <w:lang w:eastAsia="zh-CN"/>
              </w:rPr>
            </w:pPr>
            <w:r>
              <w:rPr>
                <w:rFonts w:hint="eastAsia" w:hAnsi="等线" w:cs="Arial"/>
                <w:color w:val="000000"/>
                <w:sz w:val="18"/>
                <w:szCs w:val="18"/>
                <w:lang w:bidi="ar"/>
              </w:rPr>
              <w:t xml:space="preserve">帕尼单抗</w:t>
            </w:r>
          </w:p>
        </w:tc>
        <w:tc>
          <w:tcPr>
            <w:tcW w:w="7075" w:type="dxa"/>
            <w:tcBorders>
              <w:tl2br w:val="nil"/>
              <w:tr2bl w:val="nil"/>
            </w:tcBorders>
            <w:shd w:val="clear" w:color="auto" w:fill="F2F2F2"/>
            <w:vAlign w:val="center"/>
          </w:tcPr>
          <w:p>
            <w:pPr>
              <w:widowControl/>
              <w:jc w:val="left"/>
              <w:rPr>
                <w:rFonts w:hint="eastAsia" w:hAnsi="等线" w:eastAsia="等线" w:cs="Arial"/>
                <w:b/>
                <w:bCs/>
                <w:color w:val="000000"/>
                <w:sz w:val="18"/>
                <w:szCs w:val="18"/>
                <w:lang w:eastAsia="zh-CN"/>
              </w:rPr>
            </w:pPr>
            <w:r>
              <w:rPr>
                <w:rFonts w:hint="eastAsia" w:hAnsi="等线" w:cs="Arial"/>
                <w:color w:val="000000"/>
                <w:sz w:val="18"/>
                <w:szCs w:val="18"/>
                <w:lang w:bidi="ar"/>
              </w:rPr>
              <w:t xml:space="preserve">Vectibix是一种表皮生长因子受体(EGFR)拮抗剂，其适应症为：1.联合FOLFOX用于RAS野生型(KRAS和NRAS均为野生型)转移性结直肠癌(mCRC)的一线治疗。2.单药用于治疗既往接受含氟嘧啶类、奥沙利铂和伊立替康化疗后疾病进展的RAS野生型mCRC。\\跨膜糖蛋白EGFR是I型受体酪氨酸激酶（包括EGFR，HER2，HER3和HER4）亚家族的成员。EGFR在包括皮肤和毛囊在内的正常上皮组织中组成性表达。某些人类癌症（包括结肠癌和直肠癌）中EGFR过表达。EGFR与其正常配体（例如EGF、转化生长因子-α）的相互作用导致一系列胞内蛋白的磷酸化和激活，继而调节与细胞生长、存活、运动性以及增殖相关基因的转录。KRAS（Kirsten大鼠肉瘤病毒癌基因同源物）和NRAS（神经母细胞瘤RAS病毒癌基因同源物）是RAS癌基因家族中高度相关的成员。通过EGFR的信号转导可导致野生型KRAS和NRAS蛋白激活。然而，在具有RAS体细胞激活突变的细胞中，RAS突变蛋白处于持续激活状态，不依赖EGFR的调控。帕尼单抗（Panitumumab）可以与正常细胞和肿瘤细胞上的EGFR特异性结合，并竞争性抑制EGFR配体的结合。非临床研究表明，帕尼单抗（Panitumumab）与EGFR结合可阻止配体诱导的受体自磷酸化和受体相关激酶的激活，从而抑制细胞生长、诱导细胞凋亡、减少促炎细胞因子和血管生长因子的产生以及EGFR的内在化。体外试验和体内动物研究表明，帕尼单抗（Panitumumab）可以抑制某些表达EGFR人类肿瘤细胞系的生长和存活。</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596" w:type="dxa"/>
            <w:tcBorders>
              <w:tl2br w:val="nil"/>
              <w:tr2bl w:val="nil"/>
            </w:tcBorders>
            <w:shd w:val="clear" w:color="auto" w:fill="F2F2F2"/>
            <w:vAlign w:val="center"/>
            <w:vMerge w:val="continue"/>
          </w:tcPr>
          <w:p>
            <w:pPr>
              <w:widowControl/>
              <w:spacing w:line="360" w:lineRule="auto"/>
              <w:jc w:val="center"/>
              <w:rPr>
                <w:rFonts w:hint="eastAsia" w:hAnsi="等线" w:eastAsia="等线" w:cs="Arial"/>
                <w:b/>
                <w:bCs/>
                <w:color w:val="000000"/>
                <w:sz w:val="18"/>
                <w:szCs w:val="18"/>
                <w:lang w:eastAsia="zh-CN"/>
              </w:rPr>
            </w:pPr>
            <w:r>
              <w:rPr>
                <w:rFonts w:hint="eastAsia" w:hAnsi="等线" w:cs="Arial"/>
                <w:b/>
                <w:bCs/>
                <w:color w:val="000000"/>
                <w:sz w:val="18"/>
                <w:szCs w:val="18"/>
                <w:lang w:bidi="ar"/>
              </w:rPr>
              <w:t xml:space="preserve"/>
            </w:r>
          </w:p>
        </w:tc>
        <w:tc>
          <w:tcPr>
            <w:tcW w:w="1653" w:type="dxa"/>
            <w:tcBorders>
              <w:tl2br w:val="nil"/>
              <w:tr2bl w:val="nil"/>
            </w:tcBorders>
            <w:shd w:val="clear" w:color="auto" w:fill="F2F2F2"/>
            <w:vAlign w:val="center"/>
          </w:tcPr>
          <w:p>
            <w:pPr>
              <w:widowControl/>
              <w:spacing w:line="360" w:lineRule="auto"/>
              <w:jc w:val="center"/>
              <w:rPr>
                <w:rFonts w:hint="eastAsia" w:hAnsi="等线" w:eastAsia="等线" w:cs="Arial"/>
                <w:b/>
                <w:bCs/>
                <w:color w:val="000000"/>
                <w:sz w:val="18"/>
                <w:szCs w:val="18"/>
                <w:lang w:eastAsia="zh-CN"/>
              </w:rPr>
            </w:pPr>
            <w:r>
              <w:rPr>
                <w:rFonts w:hint="eastAsia" w:hAnsi="等线" w:cs="Arial"/>
                <w:color w:val="000000"/>
                <w:sz w:val="18"/>
                <w:szCs w:val="18"/>
                <w:lang w:bidi="ar"/>
              </w:rPr>
              <w:t xml:space="preserve">妥卡替尼</w:t>
            </w:r>
          </w:p>
        </w:tc>
        <w:tc>
          <w:tcPr>
            <w:tcW w:w="7075" w:type="dxa"/>
            <w:tcBorders>
              <w:tl2br w:val="nil"/>
              <w:tr2bl w:val="nil"/>
            </w:tcBorders>
            <w:shd w:val="clear" w:color="auto" w:fill="F2F2F2"/>
            <w:vAlign w:val="center"/>
          </w:tcPr>
          <w:p>
            <w:pPr>
              <w:widowControl/>
              <w:jc w:val="left"/>
              <w:rPr>
                <w:rFonts w:hint="eastAsia" w:hAnsi="等线" w:eastAsia="等线" w:cs="Arial"/>
                <w:b/>
                <w:bCs/>
                <w:color w:val="000000"/>
                <w:sz w:val="18"/>
                <w:szCs w:val="18"/>
                <w:lang w:eastAsia="zh-CN"/>
              </w:rPr>
            </w:pPr>
            <w:r>
              <w:rPr>
                <w:rFonts w:hint="eastAsia" w:hAnsi="等线" w:cs="Arial"/>
                <w:color w:val="000000"/>
                <w:sz w:val="18"/>
                <w:szCs w:val="18"/>
                <w:lang w:bidi="ar"/>
              </w:rPr>
              <w:t xml:space="preserve">TUKYSA是一种激酶抑制剂，其适应证为：1.联合曲妥珠单抗和卡培他滨治疗既往转移治疗中接受过一种或多种抗HER2治疗的晚期不可切除性或转移性HER2阳性乳腺癌成人患者，包括发生脑转移的患者。2.联合曲妥珠单抗治疗患者之前在氟嘧啶、奥沙利铂和伊立替康化疗治疗后进展的RAS野生型，HER2阳性不可切除或转移性结直肠癌患者，。\\Tucatinib是HER2的酪氨酸激酶抑制剂。 在体外试验中，Tucatinib能够抑制HER2和HER3磷酸化，从而抑制下游MAPK和AKT信号通路和细胞增殖，并且在表达HER2的肿瘤细胞中显示出抗肿瘤活性。在体内研究中，Tucatinib可以抑制表达HER2肿瘤的生长。与单独使用这两种药物相比，Tucatinib和曲妥珠单抗（Trastuzumab)联合在体外试验和体内研究中均表现出增强的抗肿瘤活性。</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596" w:type="dxa"/>
            <w:tcBorders>
              <w:tl2br w:val="nil"/>
              <w:tr2bl w:val="nil"/>
            </w:tcBorders>
            <w:shd w:val="clear" w:color="auto" w:fill="F2F2F2"/>
            <w:vAlign w:val="center"/>
            <w:vMerge w:val="continue"/>
          </w:tcPr>
          <w:p>
            <w:pPr>
              <w:widowControl/>
              <w:spacing w:line="360" w:lineRule="auto"/>
              <w:jc w:val="center"/>
              <w:rPr>
                <w:rFonts w:hint="eastAsia" w:hAnsi="等线" w:eastAsia="等线" w:cs="Arial"/>
                <w:b/>
                <w:bCs/>
                <w:color w:val="000000"/>
                <w:sz w:val="18"/>
                <w:szCs w:val="18"/>
                <w:lang w:eastAsia="zh-CN"/>
              </w:rPr>
            </w:pPr>
            <w:r>
              <w:rPr>
                <w:rFonts w:hint="eastAsia" w:hAnsi="等线" w:cs="Arial"/>
                <w:b/>
                <w:bCs/>
                <w:color w:val="000000"/>
                <w:sz w:val="18"/>
                <w:szCs w:val="18"/>
                <w:lang w:bidi="ar"/>
              </w:rPr>
              <w:t xml:space="preserve"/>
            </w:r>
          </w:p>
        </w:tc>
        <w:tc>
          <w:tcPr>
            <w:tcW w:w="1653" w:type="dxa"/>
            <w:tcBorders>
              <w:tl2br w:val="nil"/>
              <w:tr2bl w:val="nil"/>
            </w:tcBorders>
            <w:shd w:val="clear" w:color="auto" w:fill="F2F2F2"/>
            <w:vAlign w:val="center"/>
          </w:tcPr>
          <w:p>
            <w:pPr>
              <w:widowControl/>
              <w:spacing w:line="360" w:lineRule="auto"/>
              <w:jc w:val="center"/>
              <w:rPr>
                <w:rFonts w:hint="eastAsia" w:hAnsi="等线" w:eastAsia="等线" w:cs="Arial"/>
                <w:b/>
                <w:bCs/>
                <w:color w:val="000000"/>
                <w:sz w:val="18"/>
                <w:szCs w:val="18"/>
                <w:lang w:eastAsia="zh-CN"/>
              </w:rPr>
            </w:pPr>
            <w:r>
              <w:rPr>
                <w:rFonts w:hint="eastAsia" w:hAnsi="等线" w:cs="Arial"/>
                <w:color w:val="000000"/>
                <w:sz w:val="18"/>
                <w:szCs w:val="18"/>
                <w:lang w:bidi="ar"/>
              </w:rPr>
              <w:t xml:space="preserve">拉帕替尼</w:t>
            </w:r>
          </w:p>
        </w:tc>
        <w:tc>
          <w:tcPr>
            <w:tcW w:w="7075" w:type="dxa"/>
            <w:tcBorders>
              <w:tl2br w:val="nil"/>
              <w:tr2bl w:val="nil"/>
            </w:tcBorders>
            <w:shd w:val="clear" w:color="auto" w:fill="F2F2F2"/>
            <w:vAlign w:val="center"/>
          </w:tcPr>
          <w:p>
            <w:pPr>
              <w:widowControl/>
              <w:jc w:val="left"/>
              <w:rPr>
                <w:rFonts w:hint="eastAsia" w:hAnsi="等线" w:eastAsia="等线" w:cs="Arial"/>
                <w:b/>
                <w:bCs/>
                <w:color w:val="000000"/>
                <w:sz w:val="18"/>
                <w:szCs w:val="18"/>
                <w:lang w:eastAsia="zh-CN"/>
              </w:rPr>
            </w:pPr>
            <w:r>
              <w:rPr>
                <w:rFonts w:hint="eastAsia" w:hAnsi="等线" w:cs="Arial"/>
                <w:color w:val="000000"/>
                <w:sz w:val="18"/>
                <w:szCs w:val="18"/>
                <w:lang w:bidi="ar"/>
              </w:rPr>
              <w:t xml:space="preserve">TYKERB是一种激酶抑制剂，其适应症为：1.联合卡培他滨用于治疗过表达人表皮生长因子受体2(HER2)并且既往接受过蒽环类、紫杉类和曲妥珠单抗等治疗的晚期或转移性乳腺癌。2.联合来曲唑用于治疗过表达HER2受体适用激素治疗的绝经后妇女激素受体阳性转移性乳腺癌。\\拉帕替尼（Lapatinib）是一种4-苯胺喹唑啉类抑制剂，可抑制人表皮生长因子受体（EGFR [ErbB1]）和人表皮生长因子受体2（HER2 [ErbB2]）的胞内酪氨酸激酶结构域活性（预估Kiapp值分别为3 nM和13 nM），消除半衰期大于或等于300分钟。拉帕替尼（Lapatinib）可在体外和各种动物模型中抑制ErbB驱动的肿瘤细胞生长。在一项体外研究的4种受试肿瘤细胞系中，拉帕替尼（Lapatinib）和 5-FU（卡培他滨的活性代谢物）联合用药显示出相加作用。在对曲妥珠单抗（Trastuzumab）耐受的细胞系中拉帕替尼（Lapatinib）的生长抑制作用已得到评估。拉帕替尼（Lapatinib）对于可在含曲妥珠单抗（Trastuzumab）培养基中长期生长的乳腺癌细胞系也保持显著活性。这些体外研究表明，这两种药物之间没有交叉耐药性。共表达HER2的激素受体阳性乳腺癌细胞（如雌激素受体[ER]和/或孕激素受体[PgR]）易对内分泌治疗产生耐受。同样，激素受体阳性乳腺癌细胞缺乏EGFR或HER2时会上调这些受体蛋白表达，使肿瘤对内分泌治疗耐受。</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596" w:type="dxa"/>
            <w:tcBorders>
              <w:tl2br w:val="nil"/>
              <w:tr2bl w:val="nil"/>
            </w:tcBorders>
            <w:shd w:val="clear" w:color="auto" w:fill="F2F2F2"/>
            <w:vAlign w:val="center"/>
            <w:vMerge w:val="continue"/>
          </w:tcPr>
          <w:p>
            <w:pPr>
              <w:widowControl/>
              <w:spacing w:line="360" w:lineRule="auto"/>
              <w:jc w:val="center"/>
              <w:rPr>
                <w:rFonts w:hint="eastAsia" w:hAnsi="等线" w:eastAsia="等线" w:cs="Arial"/>
                <w:b/>
                <w:bCs/>
                <w:color w:val="000000"/>
                <w:sz w:val="18"/>
                <w:szCs w:val="18"/>
                <w:lang w:eastAsia="zh-CN"/>
              </w:rPr>
            </w:pPr>
            <w:r>
              <w:rPr>
                <w:rFonts w:hint="eastAsia" w:hAnsi="等线" w:cs="Arial"/>
                <w:b/>
                <w:bCs/>
                <w:color w:val="000000"/>
                <w:sz w:val="18"/>
                <w:szCs w:val="18"/>
                <w:lang w:bidi="ar"/>
              </w:rPr>
              <w:t xml:space="preserve"/>
            </w:r>
          </w:p>
        </w:tc>
        <w:tc>
          <w:tcPr>
            <w:tcW w:w="1653" w:type="dxa"/>
            <w:tcBorders>
              <w:tl2br w:val="nil"/>
              <w:tr2bl w:val="nil"/>
            </w:tcBorders>
            <w:shd w:val="clear" w:color="auto" w:fill="F2F2F2"/>
            <w:vAlign w:val="center"/>
          </w:tcPr>
          <w:p>
            <w:pPr>
              <w:widowControl/>
              <w:spacing w:line="360" w:lineRule="auto"/>
              <w:jc w:val="center"/>
              <w:rPr>
                <w:rFonts w:hint="eastAsia" w:hAnsi="等线" w:eastAsia="等线" w:cs="Arial"/>
                <w:b/>
                <w:bCs/>
                <w:color w:val="000000"/>
                <w:sz w:val="18"/>
                <w:szCs w:val="18"/>
                <w:lang w:eastAsia="zh-CN"/>
              </w:rPr>
            </w:pPr>
            <w:r>
              <w:rPr>
                <w:rFonts w:hint="eastAsia" w:hAnsi="等线" w:cs="Arial"/>
                <w:color w:val="000000"/>
                <w:sz w:val="18"/>
                <w:szCs w:val="18"/>
                <w:lang w:bidi="ar"/>
              </w:rPr>
              <w:t xml:space="preserve">西妥昔单抗</w:t>
            </w:r>
          </w:p>
        </w:tc>
        <w:tc>
          <w:tcPr>
            <w:tcW w:w="7075" w:type="dxa"/>
            <w:tcBorders>
              <w:tl2br w:val="nil"/>
              <w:tr2bl w:val="nil"/>
            </w:tcBorders>
            <w:shd w:val="clear" w:color="auto" w:fill="F2F2F2"/>
            <w:vAlign w:val="center"/>
          </w:tcPr>
          <w:p>
            <w:pPr>
              <w:widowControl/>
              <w:jc w:val="left"/>
              <w:rPr>
                <w:rFonts w:hint="eastAsia" w:hAnsi="等线" w:eastAsia="等线" w:cs="Arial"/>
                <w:b/>
                <w:bCs/>
                <w:color w:val="000000"/>
                <w:sz w:val="18"/>
                <w:szCs w:val="18"/>
                <w:lang w:eastAsia="zh-CN"/>
              </w:rPr>
            </w:pPr>
            <w:r>
              <w:rPr>
                <w:rFonts w:hint="eastAsia" w:hAnsi="等线" w:cs="Arial"/>
                <w:color w:val="000000"/>
                <w:sz w:val="18"/>
                <w:szCs w:val="18"/>
                <w:lang w:bidi="ar"/>
              </w:rPr>
              <w:t xml:space="preserve">ERBITUX是一种表皮生长因子受体(EGFR)拮抗剂，其适应症包括：1.联合放疗用于治疗局部或区域晚期头颈鳞癌。2.联合铂类和氟尿嘧啶用于治疗头颈部复发性局部疾病或转移性头颈鳞癌。3.铂类治疗后进展的复发性或转移性头颈鳞癌。4.联合FOLFIRI用于K-Ras野生型、EGFR表达阳性的转移性结直肠癌的一线治疗。5.联合伊立替康用于治疗对基于伊立替康化疗耐药的K-Ras野生型、EGFR表达阳性的转移性结直肠癌患者。6.单药用于治疗对奥沙利铂和伊立替康为基础的化疗失败或对伊立替康不耐受的K-Ras野生型、EGFR表达阳性的转移性结直肠癌患者。7.联合康奈非尼用于先前治疗后携带BRAF V600E突变的转移性结直肠癌(CRC)成人患者。\\表皮生长因子受体（EGFR，HER1，c-ErbB-1）是一种跨膜糖蛋白，是I型受体酪氨酸激酶亚家族（包括EGFR，HER2，HER3和HER4）的成员。EGFR在包括皮肤和毛囊在内的许多正常上皮组织中组成性表达。EGFR的表达在许多人类肿瘤（包括头颈部、结肠和直肠癌）中也能检测到。西妥昔单抗(Cetuximab)可以特异性地与正常细胞和肿瘤细胞表面的EGFR结合,竞争性抑制EGFR与表皮生长因子（EGF）或其他配体（如转化生长因子-α）的结合。体外试验和体内动物研究表明，西妥昔单抗(Cetuximab)与EGFR的结合可阻断受体相关激酶的磷酸化和激活，从而抑制细胞生长，诱导细胞凋亡，降低基质金属蛋白酶和血管内皮生长因子的生成。EGFR信号转导可导致野生型Ras蛋白的激活，但在有Ras体细胞激活突变的细胞中，Ras突变蛋白处于持续激活状态，且独立于EGFR的调控。在体外，西妥昔单抗(Cetuximab)可介导针对某些类型的人类肿瘤的抗体依赖性细胞介导的细胞毒作用（ADCC）。体外试验和体内动物研究表明，西妥昔单抗(Cetuximab)可抑制表达EGFR肿瘤细胞的生长和存活。在缺乏EGFR表达的人肿瘤异种移植模型中未观察到西妥昔单抗(Cetuximab)的抗肿瘤作用。在小鼠人源肿瘤异种移植模型中，放疗或伊立替康(Irinotecan)加用西妥昔单抗(Cetuximab)后，抗肿瘤效果比单纯放疗或化疗更好。</w:t>
            </w:r>
          </w:p>
        </w:tc>
      </w:tr>
    </w:tbl>
    <w:p>
      <w:pPr>
        <w:rPr>
          <w:rFonts w:hAnsi="等线"/>
          <w:szCs w:val="21"/>
        </w:rPr>
      </w:pPr>
    </w:p>
    <w:p>
      <w:r>
        <w:rPr>
          <w:rFonts w:hAnsi="等线"/>
          <w:szCs w:val="21"/>
        </w:rPr>
        <w:br w:type="page"/>
      </w:r>
    </w:p>
    <w:p>
      <w:bookmarkStart w:id="50" w:name="HRR检测结果"/>
      <w:bookmarkEnd w:id="50"/>
    </w:p>
    <w:p>
      <w:pPr>
        <w:rPr>
          <w:rFonts w:hAnsi="等线"/>
          <w:szCs w:val="21"/>
        </w:rPr>
      </w:pPr>
      <w:r>
        <mc:AlternateContent>
          <mc:Choice Requires="wps">
            <w:drawing>
              <wp:anchor distT="0" distB="0" distL="114300" distR="114300" simplePos="0" relativeHeight="251668480" behindDoc="0" locked="0" layoutInCell="1" allowOverlap="1">
                <wp:simplePos x="0" y="0"/>
                <wp:positionH relativeFrom="margin">
                  <wp:posOffset>1111885</wp:posOffset>
                </wp:positionH>
                <wp:positionV relativeFrom="paragraph">
                  <wp:posOffset>-78740</wp:posOffset>
                </wp:positionV>
                <wp:extent cx="4064000" cy="712470"/>
                <wp:effectExtent l="0" t="0" r="0" b="0"/>
                <wp:wrapNone/>
                <wp:docPr id="1025" name="文本框 59"/>
                <wp:cNvGraphicFramePr/>
                <a:graphic xmlns:a="http://schemas.openxmlformats.org/drawingml/2006/main">
                  <a:graphicData uri="http://schemas.microsoft.com/office/word/2010/wordprocessingShape">
                    <wps:wsp>
                      <wps:cNvSpPr txBox="1"/>
                      <wps:spPr>
                        <a:xfrm>
                          <a:off x="0" y="0"/>
                          <a:ext cx="4064000" cy="71247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pacing w:before="340" w:line="360" w:lineRule="auto"/>
                              <w:jc w:val="center"/>
                              <w:outlineLvl w:val="1"/>
                              <w:rPr>
                                <w:rFonts w:hAnsi="等线" w:cs="Arial"/>
                                <w:b/>
                                <w:bCs/>
                                <w:color w:val="00B050"/>
                                <w:sz w:val="30"/>
                                <w:szCs w:val="30"/>
                              </w:rPr>
                            </w:pPr>
                            <w:r>
                              <w:rPr>
                                <w:rFonts w:hint="eastAsia" w:hAnsi="等线" w:cs="Arial"/>
                                <w:b/>
                                <w:bCs/>
                                <w:color w:val="00B050"/>
                                <w:sz w:val="30"/>
                                <w:szCs w:val="30"/>
                              </w:rPr>
                              <w:t>免疫治疗相关Biomarker检测结果及临床意义</w:t>
                            </w:r>
                          </w:p>
                          <w:p>
                            <w:pPr>
                              <w:spacing w:before="340" w:line="360" w:lineRule="auto"/>
                              <w:jc w:val="center"/>
                              <w:outlineLvl w:val="1"/>
                              <w:rPr>
                                <w:rFonts w:hAnsi="等线" w:cs="Arial"/>
                                <w:b/>
                                <w:bCs/>
                                <w:color w:val="00B0F0"/>
                                <w:sz w:val="30"/>
                                <w:szCs w:val="30"/>
                              </w:rPr>
                            </w:pPr>
                            <w:r>
                              <w:rPr>
                                <w:rFonts w:hint="eastAsia" w:hAnsi="等线" w:cs="Arial"/>
                                <w:b/>
                                <w:bCs/>
                                <w:color w:val="00B0F0"/>
                                <w:sz w:val="30"/>
                                <w:szCs w:val="30"/>
                              </w:rPr>
                              <w:t>疫治疗相关Biomarker检测结果及临床意义</w:t>
                            </w:r>
                          </w:p>
                          <w:p>
                            <w:pPr>
                              <w:jc w:val="center"/>
                              <w:rPr>
                                <w:color w:val="000000" w:themeColor="text1"/>
                                <w:sz w:val="30"/>
                                <w:szCs w:val="30"/>
                                <w14:textFill>
                                  <w14:solidFill>
                                    <w14:schemeClr w14:val="tx1"/>
                                  </w14:solidFill>
                                </w14:textFill>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87.55pt;margin-top:-6.2pt;height:56.1pt;width:320pt;mso-position-horizontal-relative:margin;z-index:251668480;mso-width-relative:page;mso-height-relative:page;" filled="f" stroked="f" coordsize="21600,21600" o:gfxdata="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AMqagdoAAAAKAQAADwAAAAAAAAABACAAAAAiAAAA&#10;ZHJzL2Rvd25yZXYueG1sUEsBAhQAFAAAAAgAh07iQPtatXU+AgAAaAQAAA4AAAAAAAAAAQAgAAAA&#10;KQEAAGRycy9lMm9Eb2MueG1sUEsFBgAAAAAGAAYAWQEAANkFAAAAAA==&#10;">
                <v:fill on="f" focussize="0,0"/>
                <v:stroke on="f" weight="0.5pt"/>
                <v:imagedata o:title=""/>
                <o:lock v:ext="edit" aspectratio="f"/>
                <v:textbox>
                  <w:txbxContent>
                    <w:p>
                      <w:pPr>
                        <w:spacing w:before="340" w:line="360" w:lineRule="auto"/>
                        <w:jc w:val="center"/>
                        <w:outlineLvl w:val="1"/>
                        <w:rPr>
                          <w:rFonts w:hAnsi="等线" w:cs="Arial"/>
                          <w:b/>
                          <w:bCs/>
                          <w:color w:val="00B050"/>
                          <w:sz w:val="30"/>
                          <w:szCs w:val="30"/>
                        </w:rPr>
                      </w:pPr>
                      <w:r>
                        <w:rPr>
                          <w:rFonts w:hint="eastAsia" w:hAnsi="等线" w:cs="Arial"/>
                          <w:b/>
                          <w:bCs/>
                          <w:color w:val="00B050"/>
                          <w:sz w:val="30"/>
                          <w:szCs w:val="30"/>
                        </w:rPr>
                        <w:t>免疫治疗相关Biomarker检测结果及临床意义</w:t>
                      </w:r>
                    </w:p>
                    <w:p>
                      <w:pPr>
                        <w:spacing w:before="340" w:line="360" w:lineRule="auto"/>
                        <w:jc w:val="center"/>
                        <w:outlineLvl w:val="1"/>
                        <w:rPr>
                          <w:rFonts w:hAnsi="等线" w:cs="Arial"/>
                          <w:b/>
                          <w:bCs/>
                          <w:color w:val="00B0F0"/>
                          <w:sz w:val="30"/>
                          <w:szCs w:val="30"/>
                        </w:rPr>
                      </w:pPr>
                      <w:r>
                        <w:rPr>
                          <w:rFonts w:hint="eastAsia" w:hAnsi="等线" w:cs="Arial"/>
                          <w:b/>
                          <w:bCs/>
                          <w:color w:val="00B0F0"/>
                          <w:sz w:val="30"/>
                          <w:szCs w:val="30"/>
                        </w:rPr>
                        <w:t>疫治疗相关Biomarker检测结果及临床意义</w:t>
                      </w:r>
                    </w:p>
                    <w:p>
                      <w:pPr>
                        <w:jc w:val="center"/>
                        <w:rPr>
                          <w:color w:val="000000" w:themeColor="text1"/>
                          <w:sz w:val="30"/>
                          <w:szCs w:val="30"/>
                          <w14:textFill>
                            <w14:solidFill>
                              <w14:schemeClr w14:val="tx1"/>
                            </w14:solidFill>
                          </w14:textFill>
                        </w:rPr>
                      </w:pPr>
                    </w:p>
                  </w:txbxContent>
                </v:textbox>
              </v:shape>
            </w:pict>
          </mc:Fallback>
        </mc:AlternateContent>
      </w:r>
    </w:p>
    <w:p>
      <w:pPr>
        <w:adjustRightInd w:val="0"/>
        <w:snapToGrid w:val="0"/>
        <w:jc w:val="left"/>
        <w:outlineLvl w:val="1"/>
        <w:rPr>
          <w:rFonts w:hAnsi="等线" w:cs="Arial"/>
          <w:b/>
          <w:bCs/>
          <w:color w:val="00B0F0"/>
          <w:szCs w:val="28"/>
        </w:rPr>
      </w:pPr>
      <w:bookmarkStart w:id="51" w:name="免疫治疗相关biomarker"/>
      <w:bookmarkEnd w:id="51"/>
      <w:bookmarkStart w:id="52" w:name="_Toc89103152"/>
      <w:bookmarkStart w:id="53" w:name="_Toc81378420"/>
      <w:bookmarkStart w:id="54" w:name="_Ref80371472"/>
      <w:r>
        <mc:AlternateContent>
          <mc:Choice Requires="wpg">
            <w:drawing>
              <wp:anchor distT="0" distB="0" distL="114300" distR="114300" simplePos="0" relativeHeight="251669504" behindDoc="0" locked="0" layoutInCell="1" allowOverlap="1">
                <wp:simplePos x="0" y="0"/>
                <wp:positionH relativeFrom="column">
                  <wp:posOffset>5715</wp:posOffset>
                </wp:positionH>
                <wp:positionV relativeFrom="paragraph">
                  <wp:posOffset>-12065</wp:posOffset>
                </wp:positionV>
                <wp:extent cx="6294120" cy="388620"/>
                <wp:effectExtent l="0" t="10795" r="0" b="12065"/>
                <wp:wrapNone/>
                <wp:docPr id="1026" name="组合 62"/>
                <wp:cNvGraphicFramePr/>
                <a:graphic xmlns:a="http://schemas.openxmlformats.org/drawingml/2006/main">
                  <a:graphicData uri="http://schemas.microsoft.com/office/word/2010/wordprocessingGroup">
                    <wpg:wgp>
                      <wpg:cNvGrpSpPr/>
                      <wpg:grpSpPr>
                        <a:xfrm>
                          <a:off x="0" y="0"/>
                          <a:ext cx="6294120" cy="388620"/>
                          <a:chOff x="2592" y="292680"/>
                          <a:chExt cx="9912" cy="612"/>
                        </a:xfrm>
                      </wpg:grpSpPr>
                      <wps:wsp>
                        <wps:cNvPr id="57" name="圆角矩形 57"/>
                        <wps:cNvSpPr/>
                        <wps:spPr>
                          <a:xfrm>
                            <a:off x="4368" y="292680"/>
                            <a:ext cx="6348" cy="612"/>
                          </a:xfrm>
                          <a:prstGeom prst="roundRect">
                            <a:avLst/>
                          </a:prstGeom>
                          <a:noFill/>
                          <a:ln w="22225">
                            <a:solidFill>
                              <a:srgbClr val="00B05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60" name="直接连接符 60"/>
                        <wps:cNvCnPr>
                          <a:stCxn id="57" idx="1"/>
                        </wps:cNvCnPr>
                        <wps:spPr>
                          <a:xfrm flipH="1">
                            <a:off x="2592" y="292986"/>
                            <a:ext cx="1776" cy="0"/>
                          </a:xfrm>
                          <a:prstGeom prst="line">
                            <a:avLst/>
                          </a:prstGeom>
                          <a:ln w="28575">
                            <a:solidFill>
                              <a:srgbClr val="00B050"/>
                            </a:solidFill>
                          </a:ln>
                        </wps:spPr>
                        <wps:style>
                          <a:lnRef idx="1">
                            <a:schemeClr val="accent1"/>
                          </a:lnRef>
                          <a:fillRef idx="0">
                            <a:schemeClr val="accent1"/>
                          </a:fillRef>
                          <a:effectRef idx="0">
                            <a:schemeClr val="accent1"/>
                          </a:effectRef>
                          <a:fontRef idx="minor">
                            <a:schemeClr val="tx1"/>
                          </a:fontRef>
                        </wps:style>
                        <wps:bodyPr/>
                      </wps:wsp>
                      <wps:wsp>
                        <wps:cNvPr id="61" name="直接连接符 61"/>
                        <wps:cNvCnPr/>
                        <wps:spPr>
                          <a:xfrm flipH="1">
                            <a:off x="10728" y="292962"/>
                            <a:ext cx="1776" cy="0"/>
                          </a:xfrm>
                          <a:prstGeom prst="line">
                            <a:avLst/>
                          </a:prstGeom>
                          <a:ln w="28575">
                            <a:solidFill>
                              <a:srgbClr val="00B050"/>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id="_x0000_s1026" o:spid="_x0000_s1026" o:spt="203" style="position:absolute;left:0pt;margin-left:0.45pt;margin-top:-0.95pt;height:30.6pt;width:495.6pt;z-index:251669504;mso-width-relative:page;mso-height-relative:page;" coordorigin="2592,292680" coordsize="9912,612" o:gfxdata="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">
                <o:lock v:ext="edit" aspectratio="f"/>
                <v:roundrect id="_x0000_s1026" o:spid="_x0000_s1026" o:spt="2" style="position:absolute;left:4368;top:292680;height:612;width:6348;v-text-anchor:middle;" filled="f" stroked="t" coordsize="21600,21600" arcsize="0.166666666666667" o:gfxdata="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Nd9G8AAAA&#10;2wAAAA8AAAAAAAAAAQAgAAAAIgAAAGRycy9kb3ducmV2LnhtbFBLAQIUABQAAAAIAIdO4kAzLwWe&#10;OwAAADkAAAAQAAAAAAAAAAEAIAAAAAsBAABkcnMvc2hhcGV4bWwueG1sUEsFBgAAAAAGAAYAWwEA&#10;ALUDAAAAAA==&#10;">
                  <v:fill on="f" focussize="0,0"/>
                  <v:stroke weight="1.75pt" color="#00B050 [3204]" miterlimit="8" joinstyle="miter"/>
                  <v:imagedata o:title=""/>
                  <o:lock v:ext="edit" aspectratio="f"/>
                </v:roundrect>
                <v:line id="_x0000_s1026" o:spid="_x0000_s1026" o:spt="20" style="position:absolute;left:2592;top:292986;flip:x;height:0;width:1776;" filled="f" stroked="t" coordsize="21600,21600" o:gfxdata="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BwcJXltwAAANsAAAAP&#10;AAAAAAAAAAEAIAAAACIAAABkcnMvZG93bnJldi54bWxQSwECFAAUAAAACACHTuJAMy8FnjsAAAA5&#10;AAAAEAAAAAAAAAABACAAAAAGAQAAZHJzL3NoYXBleG1sLnhtbFBLBQYAAAAABgAGAFsBAACwAwAA&#10;AAA=&#10;">
                  <v:fill on="f" focussize="0,0"/>
                  <v:stroke weight="2.25pt" color="#00B050 [3204]" miterlimit="8" joinstyle="miter"/>
                  <v:imagedata o:title=""/>
                  <o:lock v:ext="edit" aspectratio="f"/>
                </v:line>
                <v:line id="_x0000_s1026" o:spid="_x0000_s1026" o:spt="20" style="position:absolute;left:10728;top:292962;flip:x;height:0;width:1776;" filled="f" stroked="t" coordsize="21600,21600" o:gfxdata="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zwwfr4A&#10;AADbAAAADwAAAAAAAAABACAAAAAiAAAAZHJzL2Rvd25yZXYueG1sUEsBAhQAFAAAAAgAh07iQDMv&#10;BZ47AAAAOQAAABAAAAAAAAAAAQAgAAAADQEAAGRycy9zaGFwZXhtbC54bWxQSwUGAAAAAAYABgBb&#10;AQAAtwMAAAAA&#10;">
                  <v:fill on="f" focussize="0,0"/>
                  <v:stroke weight="2.25pt" color="#00B050 [3204]" miterlimit="8" joinstyle="miter"/>
                  <v:imagedata o:title=""/>
                  <o:lock v:ext="edit" aspectratio="f"/>
                </v:line>
              </v:group>
            </w:pict>
          </mc:Fallback>
        </mc:AlternateContent>
      </w:r>
      <w:bookmarkEnd w:id="52"/>
      <w:bookmarkEnd w:id="53"/>
      <w:bookmarkEnd w:id="54"/>
    </w:p>
    <w:p>
      <w:bookmarkStart w:id="55" w:name="_Toc89103153"/>
      <w:bookmarkStart w:id="56" w:name="_Toc45207820"/>
      <w:bookmarkStart w:id="57" w:name="_Toc45207819"/>
    </w:p>
    <w:p/>
    <w:bookmarkEnd w:id="55"/>
    <w:p>
      <w:pPr>
        <w:spacing w:line="360" w:lineRule="auto"/>
        <w:ind w:firstLine="560" w:firstLineChars="200"/>
        <w:jc w:val="left"/>
        <w:outlineLvl w:val="2"/>
        <w:rPr>
          <w:rFonts w:hAnsi="等线" w:cs="Arial"/>
          <w:b/>
          <w:bCs/>
          <w:color w:val="00B050"/>
          <w:sz w:val="28"/>
          <w:szCs w:val="28"/>
        </w:rPr>
      </w:pPr>
      <w:bookmarkStart w:id="58" w:name="TMB结果注释"/>
      <w:bookmarkEnd w:id="58"/>
      <w:bookmarkStart w:id="59" w:name="MSI结果注释"/>
      <w:bookmarkEnd w:id="59"/>
      <w:bookmarkStart w:id="60" w:name="_Toc89103154"/>
      <w:r>
        <w:rPr>
          <w:rFonts w:hint="eastAsia" w:hAnsi="等线" w:cs="Arial"/>
          <w:b/>
          <w:bCs/>
          <w:color w:val="0070C0"/>
          <w:sz w:val="28"/>
          <w:szCs w:val="28"/>
        </w:rPr>
        <w:drawing>
          <wp:anchor distT="0" distB="0" distL="114300" distR="114300" simplePos="0" relativeHeight="251673600" behindDoc="0" locked="0" layoutInCell="1" allowOverlap="1">
            <wp:simplePos x="0" y="0"/>
            <wp:positionH relativeFrom="column">
              <wp:posOffset>15240</wp:posOffset>
            </wp:positionH>
            <wp:positionV relativeFrom="paragraph">
              <wp:posOffset>52705</wp:posOffset>
            </wp:positionV>
            <wp:extent cx="274955" cy="277495"/>
            <wp:effectExtent l="0" t="0" r="14605" b="12065"/>
            <wp:wrapNone/>
            <wp:docPr id="1027" name="图片 44" descr="D:\解码\4x\资源 2@45.png资源 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descr="D:\解码\4x\资源 2@45.png资源 2@45"/>
                    <pic:cNvPicPr>
                      <a:picLocks noChangeAspect="1"/>
                    </pic:cNvPicPr>
                  </pic:nvPicPr>
                  <pic:blipFill>
                    <a:blip r:embed="rId14"/>
                    <a:srcRect/>
                    <a:stretch>
                      <a:fillRect/>
                    </a:stretch>
                  </pic:blipFill>
                  <pic:spPr>
                    <a:xfrm>
                      <a:off x="0" y="0"/>
                      <a:ext cx="274955" cy="277495"/>
                    </a:xfrm>
                    <a:prstGeom prst="rect">
                      <a:avLst/>
                    </a:prstGeom>
                  </pic:spPr>
                </pic:pic>
              </a:graphicData>
            </a:graphic>
          </wp:anchor>
        </w:drawing>
      </w:r>
      <w:r>
        <w:rPr>
          <w:rFonts w:hint="eastAsia" w:hAnsi="等线" w:cs="Arial"/>
          <w:b/>
          <w:bCs/>
          <w:color w:val="00B050"/>
          <w:sz w:val="28"/>
          <w:szCs w:val="28"/>
        </w:rPr>
        <w:t>微卫星不稳定性（MSI）解析</w:t>
      </w:r>
      <w:bookmarkEnd w:id="56"/>
      <w:bookmarkEnd w:id="60"/>
    </w:p>
    <w:tbl>
      <w:tblPr>
        <w:tblStyle w:val="58"/>
        <w:tblW w:w="5000" w:type="pct"/>
        <w:tblInd w:w="0" w:type="dxa"/>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Layout w:type="fixed"/>
        <w:tblCellMar>
          <w:top w:w="0" w:type="dxa"/>
          <w:left w:w="108" w:type="dxa"/>
          <w:bottom w:w="0" w:type="dxa"/>
          <w:right w:w="108" w:type="dxa"/>
        </w:tblCellMar>
      </w:tblPr>
      <w:tblGrid>
        <w:gridCol w:w="2464"/>
        <w:gridCol w:w="2463"/>
        <w:gridCol w:w="2464"/>
        <w:gridCol w:w="2464"/>
      </w:tblGrid>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95" w:hRule="atLeast"/>
        </w:trPr>
        <w:tc>
          <w:tcPr>
            <w:tcW w:w="2202" w:type="dxa"/>
            <w:tcBorders>
              <w:top w:val="single" w:color="FFFFFF" w:sz="24" w:space="0"/>
              <w:left w:val="single" w:color="FFFFFF" w:sz="24" w:space="0"/>
              <w:bottom w:val="single" w:color="FFFFFF" w:sz="24" w:space="0"/>
              <w:right w:val="nil"/>
              <w:insideV w:val="nil"/>
            </w:tcBorders>
            <w:shd w:val="clear" w:color="auto" w:fill="00B050"/>
            <w:vAlign w:val="center"/>
          </w:tcPr>
          <w:p>
            <w:pPr>
              <w:widowControl/>
              <w:spacing w:line="360" w:lineRule="auto"/>
              <w:jc w:val="center"/>
              <w:rPr>
                <w:rFonts w:hAnsi="等线" w:cs="Arial"/>
                <w:b/>
                <w:bCs/>
                <w:color w:val="FFFFFF"/>
                <w:szCs w:val="21"/>
              </w:rPr>
            </w:pPr>
            <w:r>
              <w:rPr>
                <w:rFonts w:hAnsi="等线" w:cs="Arial"/>
                <w:b/>
                <w:bCs/>
                <w:color w:val="FFFFFF"/>
                <w:szCs w:val="21"/>
              </w:rPr>
              <w:t>检测微卫星数目</w:t>
            </w:r>
          </w:p>
        </w:tc>
        <w:tc>
          <w:tcPr>
            <w:tcW w:w="2202" w:type="dxa"/>
            <w:tcBorders>
              <w:top w:val="single" w:color="FFFFFF" w:sz="24" w:space="0"/>
              <w:left w:val="single" w:color="FFFFFF" w:sz="24" w:space="0"/>
              <w:bottom w:val="single" w:color="FFFFFF" w:sz="24" w:space="0"/>
              <w:right w:val="nil"/>
              <w:insideV w:val="nil"/>
            </w:tcBorders>
            <w:shd w:val="clear" w:color="auto" w:fill="00B050"/>
            <w:vAlign w:val="center"/>
          </w:tcPr>
          <w:p>
            <w:pPr>
              <w:widowControl/>
              <w:spacing w:line="360" w:lineRule="auto"/>
              <w:jc w:val="center"/>
              <w:rPr>
                <w:rFonts w:hAnsi="等线" w:cs="Arial"/>
                <w:b/>
                <w:bCs/>
                <w:color w:val="FFFFFF"/>
                <w:szCs w:val="21"/>
              </w:rPr>
            </w:pPr>
            <w:r>
              <w:rPr>
                <w:rFonts w:hAnsi="等线" w:cs="Arial"/>
                <w:b/>
                <w:bCs/>
                <w:color w:val="FFFFFF"/>
                <w:szCs w:val="21"/>
              </w:rPr>
              <w:t>微卫星不稳定性分值</w:t>
            </w:r>
          </w:p>
        </w:tc>
        <w:tc>
          <w:tcPr>
            <w:tcW w:w="2203" w:type="dxa"/>
            <w:tcBorders>
              <w:top w:val="single" w:color="FFFFFF" w:sz="24" w:space="0"/>
              <w:left w:val="single" w:color="FFFFFF" w:sz="24" w:space="0"/>
              <w:bottom w:val="single" w:color="FFFFFF" w:sz="24" w:space="0"/>
              <w:right w:val="nil"/>
              <w:insideV w:val="nil"/>
            </w:tcBorders>
            <w:shd w:val="clear" w:color="auto" w:fill="00B050"/>
            <w:vAlign w:val="center"/>
          </w:tcPr>
          <w:p>
            <w:pPr>
              <w:widowControl/>
              <w:spacing w:line="360" w:lineRule="auto"/>
              <w:jc w:val="center"/>
              <w:rPr>
                <w:rFonts w:hAnsi="等线" w:cs="Arial"/>
                <w:b/>
                <w:bCs/>
                <w:color w:val="FFFFFF"/>
                <w:szCs w:val="21"/>
              </w:rPr>
            </w:pPr>
            <w:r>
              <w:rPr>
                <w:rFonts w:hAnsi="等线" w:cs="Arial"/>
                <w:b/>
                <w:bCs/>
                <w:color w:val="FFFFFF"/>
                <w:szCs w:val="21"/>
              </w:rPr>
              <w:t>参考阈值</w:t>
            </w:r>
          </w:p>
        </w:tc>
        <w:tc>
          <w:tcPr>
            <w:tcW w:w="2203" w:type="dxa"/>
            <w:tcBorders>
              <w:top w:val="single" w:color="FFFFFF" w:sz="24" w:space="0"/>
              <w:left w:val="single" w:color="FFFFFF" w:sz="24" w:space="0"/>
              <w:bottom w:val="single" w:color="FFFFFF" w:sz="24" w:space="0"/>
              <w:right w:val="single" w:color="FFFFFF" w:sz="24" w:space="0"/>
              <w:insideV w:val="nil"/>
            </w:tcBorders>
            <w:shd w:val="clear" w:color="auto" w:fill="00B050"/>
            <w:vAlign w:val="center"/>
          </w:tcPr>
          <w:p>
            <w:pPr>
              <w:widowControl/>
              <w:spacing w:line="360" w:lineRule="auto"/>
              <w:jc w:val="center"/>
              <w:rPr>
                <w:rFonts w:hAnsi="等线" w:cs="Arial"/>
                <w:b/>
                <w:bCs/>
                <w:color w:val="FFFFFF"/>
                <w:szCs w:val="21"/>
              </w:rPr>
            </w:pPr>
            <w:r>
              <w:rPr>
                <w:rFonts w:hAnsi="等线" w:cs="Arial"/>
                <w:b/>
                <w:bCs/>
                <w:color w:val="FFFFFF"/>
                <w:szCs w:val="21"/>
              </w:rPr>
              <w:t>微卫星不稳定性评级</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2202"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int="eastAsia" w:hAnsi="等线" w:eastAsia="等线" w:cs="Arial"/>
                <w:b/>
                <w:bCs w:val="0"/>
                <w:sz w:val="20"/>
                <w:szCs w:val="20"/>
                <w:lang w:eastAsia="zh-CN"/>
              </w:rPr>
            </w:pPr>
            <w:r>
              <w:rPr>
                <w:rFonts w:hint="eastAsia" w:hAnsi="等线" w:cs="Arial"/>
                <w:b/>
                <w:bCs w:val="0"/>
                <w:sz w:val="20"/>
                <w:szCs w:val="20"/>
                <w:lang w:bidi="ar"/>
              </w:rPr>
              <w:t xml:space="preserve">13</w:t>
            </w:r>
          </w:p>
        </w:tc>
        <w:tc>
          <w:tcPr>
            <w:tcW w:w="2202"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int="eastAsia" w:hAnsi="等线" w:eastAsia="等线" w:cs="Arial"/>
                <w:b/>
                <w:sz w:val="20"/>
                <w:szCs w:val="20"/>
                <w:lang w:eastAsia="zh-CN"/>
              </w:rPr>
            </w:pPr>
            <w:r>
              <w:rPr>
                <w:rFonts w:hint="eastAsia" w:hAnsi="等线" w:cs="Arial"/>
                <w:b/>
                <w:sz w:val="20"/>
                <w:szCs w:val="20"/>
                <w:lang w:bidi="ar"/>
              </w:rPr>
              <w:t xml:space="preserve">0</w:t>
            </w:r>
          </w:p>
        </w:tc>
        <w:tc>
          <w:tcPr>
            <w:tcW w:w="2203"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int="eastAsia" w:hAnsi="等线" w:eastAsia="等线" w:cs="Arial"/>
                <w:b/>
                <w:sz w:val="20"/>
                <w:szCs w:val="20"/>
                <w:lang w:eastAsia="zh-CN"/>
              </w:rPr>
            </w:pPr>
            <w:r>
              <w:rPr>
                <w:rFonts w:hint="eastAsia" w:hAnsi="等线" w:cs="Arial"/>
                <w:b/>
                <w:sz w:val="20"/>
                <w:szCs w:val="20"/>
                <w:lang w:bidi="ar"/>
              </w:rPr>
              <w:t>0.</w:t>
            </w:r>
            <w:r>
              <w:rPr>
                <w:rFonts w:hint="eastAsia" w:hAnsi="等线" w:cs="Arial"/>
                <w:b/>
                <w:sz w:val="20"/>
                <w:szCs w:val="20"/>
                <w:lang w:val="en-US" w:eastAsia="zh-CN" w:bidi="ar"/>
              </w:rPr>
              <w:t>2</w:t>
            </w:r>
          </w:p>
        </w:tc>
        <w:tc>
          <w:tcPr>
            <w:tcW w:w="2203"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int="eastAsia" w:hAnsi="等线" w:eastAsia="等线" w:cs="Arial"/>
                <w:b/>
                <w:sz w:val="20"/>
                <w:szCs w:val="20"/>
                <w:lang w:eastAsia="zh-CN"/>
              </w:rPr>
            </w:pPr>
            <w:r>
              <w:rPr>
                <w:rFonts w:hint="eastAsia" w:hAnsi="等线" w:cs="Arial"/>
                <w:b/>
                <w:sz w:val="20"/>
                <w:szCs w:val="20"/>
                <w:lang w:bidi="ar"/>
              </w:rPr>
              <w:t xml:space="preserve">MSS</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6213" w:hRule="atLeast"/>
        </w:trPr>
        <w:tc>
          <w:tcPr>
            <w:tcW w:w="8810" w:type="dxa"/>
            <w:gridSpan w:val="4"/>
            <w:tcBorders>
              <w:top w:val="single" w:color="FFFFFF" w:sz="24" w:space="0"/>
              <w:left w:val="single" w:color="FFFFFF" w:sz="24" w:space="0"/>
              <w:bottom w:val="single" w:color="FFFFFF" w:sz="24" w:space="0"/>
              <w:right w:val="single" w:color="FFFFFF" w:sz="24" w:space="0"/>
            </w:tcBorders>
            <w:shd w:val="clear" w:color="auto" w:fill="F2F2F2"/>
            <w:vAlign w:val="top"/>
          </w:tcPr>
          <w:p>
            <w:pPr>
              <w:keepNext w:val="0"/>
              <w:keepLines w:val="0"/>
              <w:suppressLineNumbers w:val="0"/>
              <w:spacing w:before="156" w:beforeLines="50" w:beforeAutospacing="0" w:after="156" w:afterLines="50" w:afterAutospacing="0"/>
              <w:ind w:left="0" w:right="0"/>
              <w:rPr>
                <w:rFonts w:hint="default" w:hAnsi="等线" w:cs="Arial"/>
                <w:b w:val="0"/>
                <w:bCs/>
                <w:sz w:val="22"/>
              </w:rPr>
            </w:pPr>
            <w:r>
              <w:rPr>
                <w:rFonts w:hint="default" w:hAnsi="等线" w:cs="Arial"/>
                <w:b/>
                <w:bCs/>
                <w:sz w:val="22"/>
              </w:rPr>
              <w:t>潜在临床意义</w:t>
            </w:r>
          </w:p>
          <w:p>
            <w:pPr>
              <w:keepNext w:val="0"/>
              <w:keepLines w:val="0"/>
              <w:widowControl/>
              <w:suppressLineNumbers w:val="0"/>
              <w:spacing w:before="0" w:beforeAutospacing="0" w:after="0" w:afterAutospacing="0" w:line="300" w:lineRule="auto"/>
              <w:ind w:left="0" w:right="0"/>
              <w:rPr>
                <w:rFonts w:hint="default" w:hAnsi="等线" w:cs="等线"/>
                <w:b/>
                <w:bCs/>
                <w:sz w:val="18"/>
                <w:szCs w:val="18"/>
              </w:rPr>
            </w:pPr>
            <w:r>
              <w:rPr>
                <w:rFonts w:hint="eastAsia" w:hAnsi="等线" w:cs="等线"/>
                <w:b w:val="0"/>
                <w:bCs w:val="0"/>
                <w:sz w:val="18"/>
                <w:szCs w:val="18"/>
              </w:rPr>
              <w:t>微卫星（microsatellite, MS）又称短串联重复序列（short tandem repeats, STR）、简单重复序列（simple sequence repeat, SSR），是指以1-6个碱基为重复单位，重复次数为5至50次甚至更多的DNA序列。微卫星不稳定性（microsatellite instability, MSI）是指在DNA复制的过程中，重复单元序列发生插入、缺失的现象。根据程度可分为</w:t>
            </w:r>
            <w:r>
              <w:rPr>
                <w:rFonts w:hint="default" w:hAnsi="等线" w:cs="等线"/>
                <w:b w:val="0"/>
                <w:bCs w:val="0"/>
                <w:sz w:val="18"/>
                <w:szCs w:val="18"/>
              </w:rPr>
              <w:t>3类：</w:t>
            </w:r>
            <w:r>
              <w:rPr>
                <w:rFonts w:hint="eastAsia" w:hAnsi="等线" w:cs="等线"/>
                <w:b w:val="0"/>
                <w:bCs w:val="0"/>
                <w:sz w:val="18"/>
                <w:szCs w:val="18"/>
              </w:rPr>
              <w:t>微卫星高度不稳定（MSI-H）、微卫星低度不稳定（MSI-L）和微卫星稳定（MSS），MSI-L和MSS常合并为MSS。</w:t>
            </w:r>
          </w:p>
          <w:p>
            <w:pPr>
              <w:keepNext w:val="0"/>
              <w:keepLines w:val="0"/>
              <w:widowControl/>
              <w:suppressLineNumbers w:val="0"/>
              <w:spacing w:before="0" w:beforeAutospacing="0" w:after="0" w:afterAutospacing="0" w:line="300" w:lineRule="auto"/>
              <w:ind w:left="0" w:right="0"/>
              <w:rPr>
                <w:rFonts w:hint="default" w:hAnsi="等线" w:cs="等线"/>
                <w:b/>
                <w:bCs/>
                <w:sz w:val="18"/>
                <w:szCs w:val="18"/>
              </w:rPr>
            </w:pPr>
            <w:r>
              <w:rPr>
                <w:rFonts w:hint="eastAsia" w:hAnsi="等线" w:cs="等线"/>
                <w:b w:val="0"/>
                <w:bCs w:val="0"/>
                <w:sz w:val="18"/>
                <w:szCs w:val="18"/>
              </w:rPr>
              <w:t>MSI的发生机制为DNA复制过程中在微卫星区域发生滑链错配（</w:t>
            </w:r>
            <w:r>
              <w:rPr>
                <w:rFonts w:hint="default" w:hAnsi="等线" w:cs="等线"/>
                <w:b w:val="0"/>
                <w:bCs w:val="0"/>
                <w:sz w:val="18"/>
                <w:szCs w:val="18"/>
              </w:rPr>
              <w:t>slipped-strand mispairing）</w:t>
            </w:r>
            <w:r>
              <w:rPr>
                <w:rFonts w:hint="eastAsia" w:hAnsi="等线" w:cs="等线"/>
                <w:b w:val="0"/>
                <w:bCs w:val="0"/>
                <w:sz w:val="18"/>
                <w:szCs w:val="18"/>
              </w:rPr>
              <w:t>，导致复制链和模板链不一致，当错配修复机制（MMR）正常时，这些错配得以修正，当错配修复机制发生缺陷（dMMR）时，这些错配无法修正，将导致出现微卫星不稳定。</w:t>
            </w:r>
          </w:p>
          <w:p>
            <w:pPr>
              <w:keepNext w:val="0"/>
              <w:keepLines w:val="0"/>
              <w:widowControl/>
              <w:suppressLineNumbers w:val="0"/>
              <w:spacing w:before="0" w:beforeAutospacing="0" w:after="0" w:afterAutospacing="0" w:line="300" w:lineRule="auto"/>
              <w:ind w:left="0" w:right="0"/>
              <w:rPr>
                <w:rFonts w:hint="default" w:hAnsi="等线" w:cs="等线"/>
                <w:b/>
                <w:bCs/>
                <w:sz w:val="18"/>
                <w:szCs w:val="18"/>
              </w:rPr>
            </w:pPr>
            <w:r>
              <w:rPr>
                <w:rFonts w:hint="eastAsia" w:hAnsi="等线" w:cs="等线"/>
                <w:b w:val="0"/>
                <w:bCs w:val="0"/>
                <w:sz w:val="18"/>
                <w:szCs w:val="18"/>
              </w:rPr>
              <w:t>本报告采用NGS方法检测MSI，在panel探针覆盖的所有MS位点中，当发生MSI突变的位点占比</w:t>
            </w:r>
            <w:r>
              <w:rPr>
                <w:rFonts w:hint="eastAsia" w:hAnsi="等线" w:cs="等线"/>
                <w:b w:val="0"/>
                <w:bCs w:val="0"/>
                <w:sz w:val="18"/>
                <w:szCs w:val="18"/>
                <w:lang w:val="en-US" w:eastAsia="zh-CN"/>
              </w:rPr>
              <w:t>＞2</w:t>
            </w:r>
            <w:r>
              <w:rPr>
                <w:rFonts w:hint="eastAsia" w:hAnsi="等线" w:cs="等线"/>
                <w:b w:val="0"/>
                <w:bCs w:val="0"/>
                <w:sz w:val="18"/>
                <w:szCs w:val="18"/>
              </w:rPr>
              <w:t>0</w:t>
            </w:r>
            <w:r>
              <w:rPr>
                <w:rFonts w:hint="eastAsia" w:hAnsi="等线" w:cs="等线"/>
                <w:b w:val="0"/>
                <w:bCs w:val="0"/>
                <w:sz w:val="18"/>
                <w:szCs w:val="18"/>
                <w:lang w:val="en-US" w:eastAsia="zh-CN"/>
              </w:rPr>
              <w:t>%</w:t>
            </w:r>
            <w:r>
              <w:rPr>
                <w:rFonts w:hint="eastAsia" w:hAnsi="等线" w:cs="等线"/>
                <w:b w:val="0"/>
                <w:bCs w:val="0"/>
                <w:sz w:val="18"/>
                <w:szCs w:val="18"/>
              </w:rPr>
              <w:t>时，样本为MSI-H，当MSI突变位点占比≤</w:t>
            </w:r>
            <w:r>
              <w:rPr>
                <w:rFonts w:hint="eastAsia" w:hAnsi="等线" w:cs="等线"/>
                <w:b w:val="0"/>
                <w:bCs w:val="0"/>
                <w:sz w:val="18"/>
                <w:szCs w:val="18"/>
                <w:lang w:val="en-US" w:eastAsia="zh-CN"/>
              </w:rPr>
              <w:t>2</w:t>
            </w:r>
            <w:r>
              <w:rPr>
                <w:rFonts w:hint="eastAsia" w:hAnsi="等线" w:cs="等线"/>
                <w:b w:val="0"/>
                <w:bCs w:val="0"/>
                <w:sz w:val="18"/>
                <w:szCs w:val="18"/>
              </w:rPr>
              <w:t>0%时，样本为MSS。</w:t>
            </w:r>
          </w:p>
          <w:p>
            <w:pPr>
              <w:keepNext w:val="0"/>
              <w:keepLines w:val="0"/>
              <w:widowControl/>
              <w:suppressLineNumbers w:val="0"/>
              <w:spacing w:before="0" w:beforeAutospacing="0" w:after="0" w:afterAutospacing="0" w:line="300" w:lineRule="auto"/>
              <w:ind w:left="0" w:leftChars="0" w:right="0" w:rightChars="0"/>
              <w:rPr>
                <w:rFonts w:hAnsi="等线"/>
                <w:b w:val="0"/>
                <w:bCs w:val="0"/>
              </w:rPr>
            </w:pPr>
            <w:r>
              <w:rPr>
                <w:rFonts w:hint="eastAsia" w:hAnsi="等线" w:cs="等线"/>
                <w:b w:val="0"/>
                <w:bCs w:val="0"/>
                <w:sz w:val="18"/>
                <w:szCs w:val="18"/>
              </w:rPr>
              <w:t>目前FDA批准PD-1抑制剂Pembrolizumab用于治疗MSI-H/dMMR型不可切除或转移性实体瘤，PD-1抑制剂Nivolumab单药或和ipilimumab联用，治疗经氟尿嘧啶、奥沙利铂、伊立替康治疗后疾病进展的MSI-H/dMMR型转移性结直肠癌。此外，N</w:t>
            </w:r>
            <w:r>
              <w:rPr>
                <w:rFonts w:hint="default" w:hAnsi="等线" w:cs="等线"/>
                <w:b w:val="0"/>
                <w:bCs w:val="0"/>
                <w:sz w:val="18"/>
                <w:szCs w:val="18"/>
              </w:rPr>
              <w:t>MPA</w:t>
            </w:r>
            <w:r>
              <w:rPr>
                <w:rFonts w:hint="eastAsia" w:hAnsi="等线" w:cs="等线"/>
                <w:b w:val="0"/>
                <w:bCs w:val="0"/>
                <w:sz w:val="18"/>
                <w:szCs w:val="18"/>
              </w:rPr>
              <w:t>批准PD-1抑制剂替雷利珠单抗用于治疗MSI-H/dMMR型不可切除或转移性成人晚期实体瘤，P</w:t>
            </w:r>
            <w:r>
              <w:rPr>
                <w:rFonts w:hint="default" w:hAnsi="等线" w:cs="等线"/>
                <w:b w:val="0"/>
                <w:bCs w:val="0"/>
                <w:sz w:val="18"/>
                <w:szCs w:val="18"/>
              </w:rPr>
              <w:t>D-L1</w:t>
            </w:r>
            <w:r>
              <w:rPr>
                <w:rFonts w:hint="eastAsia" w:hAnsi="等线" w:cs="等线"/>
                <w:b w:val="0"/>
                <w:bCs w:val="0"/>
                <w:sz w:val="18"/>
                <w:szCs w:val="18"/>
              </w:rPr>
              <w:t>抑制剂恩沃利单抗用于治疗MSI-H/dMMR型不可切除或转移性实体瘤，PD-1抑制剂斯鲁利单抗用于治疗MSI-H型不可切除或转移性成人晚期实体瘤，PD-1抑制剂普特利单抗用于治疗既往接受一线及以上系统治疗失败的MSI-H/dMMR型晚期实体瘤。</w:t>
            </w:r>
          </w:p>
        </w:tc>
      </w:tr>
    </w:tbl>
    <w:p>
      <w:pPr>
        <w:rPr>
          <w:rFonts w:hAnsi="等线"/>
        </w:rPr>
      </w:pPr>
    </w:p>
    <w:p>
      <w:pPr>
        <w:rPr>
          <w:rFonts w:hAnsi="等线"/>
        </w:rPr>
      </w:pPr>
    </w:p>
    <w:p>
      <w:pPr>
        <w:spacing w:after="156" w:afterLines="50"/>
        <w:rPr>
          <w:rFonts w:hAnsi="等线"/>
          <w:b/>
          <w:bCs/>
        </w:rPr>
      </w:pPr>
      <w:r>
        <w:rPr>
          <w:rFonts w:hint="eastAsia" w:hAnsi="等线"/>
          <w:b/>
          <w:bCs/>
        </w:rPr>
        <w:t>参考：</w:t>
      </w:r>
    </w:p>
    <w:p>
      <w:pPr>
        <w:rPr>
          <w:rFonts w:hAnsi="等线"/>
          <w:sz w:val="18"/>
          <w:szCs w:val="18"/>
        </w:rPr>
      </w:pPr>
      <w:r>
        <w:rPr>
          <w:rFonts w:hint="eastAsia" w:hAnsi="等线"/>
          <w:sz w:val="18"/>
          <w:szCs w:val="18"/>
        </w:rPr>
        <w:t>《</w:t>
      </w:r>
      <w:r>
        <w:rPr>
          <w:rFonts w:hAnsi="等线"/>
          <w:sz w:val="18"/>
          <w:szCs w:val="18"/>
        </w:rPr>
        <w:t>结直肠癌及其他相关实体瘤微卫星不稳定性检测中国专家共识</w:t>
      </w:r>
      <w:r>
        <w:rPr>
          <w:rFonts w:hint="eastAsia" w:hAnsi="等线"/>
          <w:sz w:val="18"/>
          <w:szCs w:val="18"/>
        </w:rPr>
        <w:t>》</w:t>
      </w:r>
    </w:p>
    <w:p>
      <w:pPr>
        <w:rPr>
          <w:rFonts w:hAnsi="等线"/>
          <w:szCs w:val="21"/>
        </w:rPr>
      </w:pPr>
      <w:r>
        <w:rPr>
          <w:rFonts w:hAnsi="等线"/>
          <w:szCs w:val="21"/>
        </w:rPr>
        <w:br w:type="page"/>
      </w:r>
    </w:p>
    <w:p>
      <w:pPr>
        <w:spacing w:line="360" w:lineRule="auto"/>
        <w:ind w:firstLine="560" w:firstLineChars="200"/>
        <w:jc w:val="left"/>
        <w:outlineLvl w:val="2"/>
        <w:rPr>
          <w:rFonts w:hAnsi="等线" w:cs="Arial"/>
          <w:b/>
          <w:bCs/>
          <w:color w:val="00B050"/>
          <w:sz w:val="28"/>
          <w:szCs w:val="28"/>
        </w:rPr>
      </w:pPr>
      <w:bookmarkStart w:id="61" w:name="MMR检测结果"/>
      <w:bookmarkEnd w:id="61"/>
      <w:bookmarkStart w:id="62" w:name="_Toc89103155"/>
      <w:r>
        <w:rPr>
          <w:rFonts w:hint="eastAsia" w:hAnsi="等线" w:cs="Arial"/>
          <w:b/>
          <w:bCs/>
          <w:color w:val="0070C0"/>
          <w:sz w:val="28"/>
          <w:szCs w:val="28"/>
        </w:rPr>
        <w:drawing>
          <wp:anchor distT="0" distB="0" distL="114300" distR="114300" simplePos="0" relativeHeight="251674624" behindDoc="0" locked="0" layoutInCell="1" allowOverlap="1">
            <wp:simplePos x="0" y="0"/>
            <wp:positionH relativeFrom="column">
              <wp:posOffset>30480</wp:posOffset>
            </wp:positionH>
            <wp:positionV relativeFrom="paragraph">
              <wp:posOffset>53340</wp:posOffset>
            </wp:positionV>
            <wp:extent cx="275590" cy="277495"/>
            <wp:effectExtent l="0" t="0" r="13970" b="12065"/>
            <wp:wrapNone/>
            <wp:docPr id="1028" name="图片 47" descr="D:\解码\4x\资源 2@45.png资源 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D:\解码\4x\资源 2@45.png资源 2@45"/>
                    <pic:cNvPicPr>
                      <a:picLocks noChangeAspect="1"/>
                    </pic:cNvPicPr>
                  </pic:nvPicPr>
                  <pic:blipFill>
                    <a:blip r:embed="rId14"/>
                    <a:srcRect/>
                    <a:stretch>
                      <a:fillRect/>
                    </a:stretch>
                  </pic:blipFill>
                  <pic:spPr>
                    <a:xfrm>
                      <a:off x="0" y="0"/>
                      <a:ext cx="275590" cy="277495"/>
                    </a:xfrm>
                    <a:prstGeom prst="rect">
                      <a:avLst/>
                    </a:prstGeom>
                  </pic:spPr>
                </pic:pic>
              </a:graphicData>
            </a:graphic>
          </wp:anchor>
        </w:drawing>
      </w:r>
      <w:r>
        <w:rPr>
          <w:rFonts w:hint="eastAsia" w:hAnsi="等线" w:cs="Arial"/>
          <w:b/>
          <w:bCs/>
          <w:color w:val="00B050"/>
          <w:sz w:val="28"/>
          <w:szCs w:val="28"/>
        </w:rPr>
        <w:t>错配修复系统（M</w:t>
      </w:r>
      <w:r>
        <w:rPr>
          <w:rFonts w:hAnsi="等线" w:cs="Arial"/>
          <w:b/>
          <w:bCs/>
          <w:color w:val="00B050"/>
          <w:sz w:val="28"/>
          <w:szCs w:val="28"/>
        </w:rPr>
        <w:t>MR</w:t>
      </w:r>
      <w:r>
        <w:rPr>
          <w:rFonts w:hint="eastAsia" w:hAnsi="等线" w:cs="Arial"/>
          <w:b/>
          <w:bCs/>
          <w:color w:val="00B050"/>
          <w:sz w:val="28"/>
          <w:szCs w:val="28"/>
        </w:rPr>
        <w:t>）检测结果</w:t>
      </w:r>
      <w:bookmarkEnd w:id="62"/>
    </w:p>
    <w:tbl>
      <w:tblPr>
        <w:tblStyle w:val="58"/>
        <w:tblW w:w="5000" w:type="pct"/>
        <w:tblInd w:w="0" w:type="dxa"/>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Layout w:type="fixed"/>
        <w:tblCellMar>
          <w:top w:w="0" w:type="dxa"/>
          <w:left w:w="108" w:type="dxa"/>
          <w:bottom w:w="0" w:type="dxa"/>
          <w:right w:w="108" w:type="dxa"/>
        </w:tblCellMar>
      </w:tblPr>
      <w:tblGrid>
        <w:gridCol w:w="1212"/>
        <w:gridCol w:w="1587"/>
        <w:gridCol w:w="1417"/>
        <w:gridCol w:w="1420"/>
        <w:gridCol w:w="1402"/>
        <w:gridCol w:w="1265"/>
        <w:gridCol w:w="1552"/>
      </w:tblGrid>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95" w:hRule="atLeast"/>
          <w:tblHeader/>
        </w:trPr>
        <w:tc>
          <w:tcPr>
            <w:tcW w:w="1212" w:type="dxa"/>
            <w:tcBorders>
              <w:top w:val="single" w:color="FFFFFF" w:sz="24" w:space="0"/>
              <w:left w:val="single" w:color="FFFFFF" w:sz="24" w:space="0"/>
              <w:bottom w:val="single" w:color="FFFFFF" w:sz="24" w:space="0"/>
              <w:right w:val="nil"/>
              <w:insideV w:val="nil"/>
            </w:tcBorders>
            <w:shd w:val="clear" w:color="auto" w:fill="00B050"/>
            <w:vAlign w:val="center"/>
          </w:tcPr>
          <w:p>
            <w:pPr>
              <w:widowControl/>
              <w:spacing w:line="360" w:lineRule="auto"/>
              <w:jc w:val="center"/>
              <w:rPr>
                <w:rFonts w:hAnsi="等线" w:cs="Arial"/>
                <w:b/>
                <w:bCs/>
                <w:color w:val="FFFFFF"/>
                <w:szCs w:val="21"/>
              </w:rPr>
            </w:pPr>
            <w:r>
              <w:rPr>
                <w:rFonts w:hAnsi="等线" w:cs="Arial"/>
                <w:b/>
                <w:bCs/>
                <w:color w:val="FFFFFF"/>
                <w:kern w:val="0"/>
                <w:szCs w:val="21"/>
              </w:rPr>
              <w:br w:type="page"/>
            </w:r>
            <w:r>
              <w:rPr>
                <w:rFonts w:hAnsi="等线" w:cs="Arial"/>
                <w:b/>
                <w:bCs/>
                <w:color w:val="FFFFFF"/>
                <w:szCs w:val="21"/>
              </w:rPr>
              <w:t>基因</w:t>
            </w:r>
          </w:p>
        </w:tc>
        <w:tc>
          <w:tcPr>
            <w:tcW w:w="1587" w:type="dxa"/>
            <w:tcBorders>
              <w:top w:val="single" w:color="FFFFFF" w:sz="24" w:space="0"/>
              <w:left w:val="single" w:color="FFFFFF" w:sz="24" w:space="0"/>
              <w:bottom w:val="single" w:color="FFFFFF" w:sz="24" w:space="0"/>
              <w:right w:val="nil"/>
              <w:insideV w:val="nil"/>
            </w:tcBorders>
            <w:shd w:val="clear" w:color="auto" w:fill="00B050"/>
            <w:vAlign w:val="center"/>
          </w:tcPr>
          <w:p>
            <w:pPr>
              <w:widowControl/>
              <w:spacing w:line="360" w:lineRule="auto"/>
              <w:jc w:val="center"/>
              <w:rPr>
                <w:rFonts w:hAnsi="等线" w:cs="Arial"/>
                <w:b/>
                <w:bCs/>
                <w:color w:val="FFFFFF"/>
                <w:szCs w:val="21"/>
              </w:rPr>
            </w:pPr>
            <w:r>
              <w:rPr>
                <w:rFonts w:hAnsi="等线" w:cs="Arial"/>
                <w:b/>
                <w:bCs/>
                <w:color w:val="FFFFFF"/>
                <w:szCs w:val="21"/>
              </w:rPr>
              <w:t>转录本编号</w:t>
            </w:r>
          </w:p>
        </w:tc>
        <w:tc>
          <w:tcPr>
            <w:tcW w:w="1417" w:type="dxa"/>
            <w:tcBorders>
              <w:top w:val="single" w:color="FFFFFF" w:sz="24" w:space="0"/>
              <w:left w:val="single" w:color="FFFFFF" w:sz="24" w:space="0"/>
              <w:bottom w:val="single" w:color="FFFFFF" w:sz="24" w:space="0"/>
              <w:right w:val="nil"/>
              <w:insideV w:val="nil"/>
            </w:tcBorders>
            <w:shd w:val="clear" w:color="auto" w:fill="00B050"/>
            <w:vAlign w:val="center"/>
          </w:tcPr>
          <w:p>
            <w:pPr>
              <w:widowControl/>
              <w:spacing w:line="360" w:lineRule="auto"/>
              <w:jc w:val="center"/>
              <w:rPr>
                <w:rFonts w:hAnsi="等线" w:cs="Arial"/>
                <w:b/>
                <w:bCs/>
                <w:color w:val="FFFFFF"/>
                <w:szCs w:val="21"/>
              </w:rPr>
            </w:pPr>
            <w:r>
              <w:rPr>
                <w:rFonts w:hAnsi="等线" w:cs="Arial"/>
                <w:b/>
                <w:bCs/>
                <w:color w:val="FFFFFF"/>
                <w:szCs w:val="21"/>
              </w:rPr>
              <w:t>核苷酸变化</w:t>
            </w:r>
          </w:p>
        </w:tc>
        <w:tc>
          <w:tcPr>
            <w:tcW w:w="1420" w:type="dxa"/>
            <w:tcBorders>
              <w:top w:val="single" w:color="FFFFFF" w:sz="24" w:space="0"/>
              <w:left w:val="single" w:color="FFFFFF" w:sz="24" w:space="0"/>
              <w:bottom w:val="single" w:color="FFFFFF" w:sz="24" w:space="0"/>
              <w:right w:val="nil"/>
              <w:insideV w:val="nil"/>
            </w:tcBorders>
            <w:shd w:val="clear" w:color="auto" w:fill="00B050"/>
            <w:vAlign w:val="center"/>
          </w:tcPr>
          <w:p>
            <w:pPr>
              <w:widowControl/>
              <w:spacing w:line="360" w:lineRule="auto"/>
              <w:jc w:val="center"/>
              <w:rPr>
                <w:rFonts w:hAnsi="等线" w:cs="Arial"/>
                <w:b/>
                <w:bCs/>
                <w:color w:val="FFFFFF"/>
                <w:szCs w:val="21"/>
              </w:rPr>
            </w:pPr>
            <w:r>
              <w:rPr>
                <w:rFonts w:hAnsi="等线" w:cs="Arial"/>
                <w:b/>
                <w:bCs/>
                <w:color w:val="FFFFFF"/>
                <w:szCs w:val="21"/>
              </w:rPr>
              <w:t>氨基酸变化</w:t>
            </w:r>
          </w:p>
        </w:tc>
        <w:tc>
          <w:tcPr>
            <w:tcW w:w="1401" w:type="dxa"/>
            <w:tcBorders>
              <w:top w:val="single" w:color="FFFFFF" w:sz="24" w:space="0"/>
              <w:left w:val="single" w:color="FFFFFF" w:sz="24" w:space="0"/>
              <w:bottom w:val="single" w:color="FFFFFF" w:sz="24" w:space="0"/>
              <w:right w:val="nil"/>
              <w:insideV w:val="nil"/>
            </w:tcBorders>
            <w:shd w:val="clear" w:color="auto" w:fill="00B050"/>
            <w:vAlign w:val="center"/>
          </w:tcPr>
          <w:p>
            <w:pPr>
              <w:widowControl/>
              <w:spacing w:line="360" w:lineRule="auto"/>
              <w:jc w:val="center"/>
              <w:rPr>
                <w:rFonts w:hAnsi="等线" w:cs="Arial"/>
                <w:b/>
                <w:bCs/>
                <w:color w:val="FFFFFF"/>
                <w:szCs w:val="21"/>
              </w:rPr>
            </w:pPr>
            <w:r>
              <w:rPr>
                <w:rFonts w:hAnsi="等线" w:cs="Arial"/>
                <w:b/>
                <w:bCs/>
                <w:color w:val="FFFFFF"/>
                <w:szCs w:val="21"/>
              </w:rPr>
              <w:t>变异类型</w:t>
            </w:r>
          </w:p>
        </w:tc>
        <w:tc>
          <w:tcPr>
            <w:tcW w:w="1264" w:type="dxa"/>
            <w:tcBorders>
              <w:top w:val="single" w:color="FFFFFF" w:sz="24" w:space="0"/>
              <w:left w:val="single" w:color="FFFFFF" w:sz="24" w:space="0"/>
              <w:bottom w:val="single" w:color="FFFFFF" w:sz="24" w:space="0"/>
              <w:right w:val="nil"/>
              <w:insideV w:val="nil"/>
            </w:tcBorders>
            <w:shd w:val="clear" w:color="auto" w:fill="00B050"/>
            <w:vAlign w:val="center"/>
          </w:tcPr>
          <w:p>
            <w:pPr>
              <w:widowControl/>
              <w:spacing w:line="360" w:lineRule="auto"/>
              <w:jc w:val="center"/>
              <w:rPr>
                <w:rFonts w:hint="default" w:hAnsi="等线" w:eastAsia="等线" w:cs="Arial"/>
                <w:b/>
                <w:bCs/>
                <w:color w:val="FFFFFF"/>
                <w:szCs w:val="21"/>
                <w:lang w:val="en-US" w:eastAsia="zh-CN"/>
              </w:rPr>
            </w:pPr>
            <w:r>
              <w:rPr>
                <w:rFonts w:hint="eastAsia" w:hAnsi="等线" w:cs="Arial"/>
                <w:b/>
                <w:bCs/>
                <w:color w:val="FFFFFF"/>
                <w:szCs w:val="21"/>
                <w:lang w:val="en-US" w:eastAsia="zh-CN"/>
              </w:rPr>
              <w:t>基因型</w:t>
            </w:r>
          </w:p>
        </w:tc>
        <w:tc>
          <w:tcPr>
            <w:tcW w:w="1551" w:type="dxa"/>
            <w:tcBorders>
              <w:top w:val="single" w:color="FFFFFF" w:sz="24" w:space="0"/>
              <w:left w:val="single" w:color="FFFFFF" w:sz="24" w:space="0"/>
              <w:bottom w:val="single" w:color="FFFFFF" w:sz="24" w:space="0"/>
              <w:right w:val="single" w:color="FFFFFF" w:sz="24" w:space="0"/>
              <w:insideV w:val="nil"/>
            </w:tcBorders>
            <w:shd w:val="clear" w:color="auto" w:fill="00B050"/>
            <w:vAlign w:val="center"/>
          </w:tcPr>
          <w:p>
            <w:pPr>
              <w:widowControl/>
              <w:spacing w:line="360" w:lineRule="auto"/>
              <w:jc w:val="center"/>
              <w:rPr>
                <w:rFonts w:hAnsi="等线" w:cs="Arial"/>
                <w:b/>
                <w:bCs/>
                <w:color w:val="FFFFFF"/>
                <w:szCs w:val="21"/>
              </w:rPr>
            </w:pPr>
            <w:r>
              <w:rPr>
                <w:rFonts w:hint="eastAsia" w:hAnsi="等线" w:cs="Arial"/>
                <w:b/>
                <w:bCs/>
                <w:color w:val="FFFFFF"/>
                <w:szCs w:val="21"/>
              </w:rPr>
              <w:t xml:space="preserve">临床意义</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212"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int="eastAsia" w:hAnsi="等线" w:eastAsia="等线" w:cs="宋体"/>
                <w:b w:val="0"/>
                <w:bCs w:val="0"/>
                <w:color w:val="000000"/>
                <w:sz w:val="20"/>
                <w:szCs w:val="20"/>
                <w:lang w:eastAsia="zh-CN"/>
                <w14:textFill>
                  <w14:solidFill>
                    <w14:srgbClr w14:val="000000">
                      <w14:lumMod w14:val="75000"/>
                      <w14:lumOff w14:val="25000"/>
                    </w14:srgbClr>
                  </w14:solidFill>
                </w14:textFill>
              </w:rPr>
            </w:pPr>
            <w:r>
              <w:rPr>
                <w:rFonts w:hint="eastAsia" w:hAnsi="等线" w:cs="宋体"/>
                <w:b/>
                <w:bCs/>
                <w:color w:val="404040"/>
                <w:sz w:val="20"/>
                <w:szCs w:val="20"/>
                <w:lang w:bidi="ar"/>
              </w:rPr>
              <w:t xml:space="preserve">MSH2</w:t>
            </w:r>
          </w:p>
        </w:tc>
        <w:tc>
          <w:tcPr>
            <w:tcW w:w="1587" w:type="dxa"/>
            <w:tcBorders>
              <w:top w:val="single" w:color="FFFFFF" w:sz="24" w:space="0"/>
              <w:left w:val="single" w:color="FFFFFF" w:sz="24" w:space="0"/>
              <w:bottom w:val="single" w:color="FFFFFF" w:sz="24" w:space="0"/>
              <w:right w:val="single" w:color="FFFFFF" w:sz="24" w:space="0"/>
            </w:tcBorders>
            <w:shd w:val="clear" w:color="auto" w:fill="F2F2F2"/>
            <w:textDirection w:val="lrTbV"/>
            <w:vAlign w:val="center"/>
          </w:tcPr>
          <w:p>
            <w:pPr>
              <w:spacing w:line="360" w:lineRule="auto"/>
              <w:jc w:val="center"/>
              <w:rPr>
                <w:rFonts w:hint="eastAsia" w:hAnsi="等线" w:eastAsia="等线" w:cs="宋体"/>
                <w:color w:val="000000"/>
                <w:sz w:val="20"/>
                <w:szCs w:val="20"/>
                <w:lang w:eastAsia="zh-CN"/>
                <w14:textFill>
                  <w14:solidFill>
                    <w14:srgbClr w14:val="000000">
                      <w14:lumMod w14:val="75000"/>
                      <w14:lumOff w14:val="25000"/>
                    </w14:srgbClr>
                  </w14:solidFill>
                </w14:textFill>
              </w:rPr>
            </w:pPr>
            <w:r>
              <w:rPr>
                <w:rFonts w:hint="eastAsia" w:hAnsi="等线" w:cs="宋体"/>
                <w:color w:val="404040"/>
                <w:sz w:val="20"/>
                <w:szCs w:val="20"/>
                <w:lang w:bidi="ar"/>
              </w:rPr>
              <w:t xml:space="preserve">NM_000251</w:t>
            </w:r>
          </w:p>
        </w:tc>
        <w:tc>
          <w:tcPr>
            <w:tcW w:w="1417"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int="eastAsia" w:hAnsi="等线" w:eastAsia="等线" w:cs="宋体"/>
                <w:color w:val="000000"/>
                <w:sz w:val="20"/>
                <w:szCs w:val="20"/>
                <w:lang w:eastAsia="zh-CN"/>
                <w14:textFill>
                  <w14:solidFill>
                    <w14:srgbClr w14:val="000000">
                      <w14:lumMod w14:val="75000"/>
                      <w14:lumOff w14:val="25000"/>
                    </w14:srgbClr>
                  </w14:solidFill>
                </w14:textFill>
              </w:rPr>
            </w:pPr>
            <w:r>
              <w:rPr>
                <w:rFonts w:hint="eastAsia" w:hAnsi="等线" w:cs="宋体"/>
                <w:color w:val="404040"/>
                <w:sz w:val="20"/>
                <w:szCs w:val="20"/>
                <w:lang w:bidi="ar"/>
              </w:rPr>
              <w:t xml:space="preserve">c.2425G&gt;A</w:t>
            </w:r>
          </w:p>
        </w:tc>
        <w:tc>
          <w:tcPr>
            <w:tcW w:w="1420"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int="eastAsia" w:hAnsi="等线" w:eastAsia="等线" w:cs="宋体"/>
                <w:color w:val="000000"/>
                <w:sz w:val="20"/>
                <w:szCs w:val="20"/>
                <w:lang w:eastAsia="zh-CN"/>
                <w14:textFill>
                  <w14:solidFill>
                    <w14:srgbClr w14:val="000000">
                      <w14:lumMod w14:val="75000"/>
                      <w14:lumOff w14:val="25000"/>
                    </w14:srgbClr>
                  </w14:solidFill>
                </w14:textFill>
              </w:rPr>
            </w:pPr>
            <w:r>
              <w:rPr>
                <w:rFonts w:hint="eastAsia" w:hAnsi="等线" w:cs="宋体"/>
                <w:color w:val="404040"/>
                <w:sz w:val="20"/>
                <w:szCs w:val="20"/>
                <w:lang w:bidi="ar"/>
              </w:rPr>
              <w:t xml:space="preserve">c.2425G&gt;A</w:t>
            </w:r>
          </w:p>
        </w:tc>
        <w:tc>
          <w:tcPr>
            <w:tcW w:w="1401"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int="eastAsia" w:hAnsi="等线" w:eastAsia="等线" w:cs="宋体"/>
                <w:color w:val="000000"/>
                <w:sz w:val="20"/>
                <w:szCs w:val="20"/>
                <w:lang w:eastAsia="zh-CN"/>
                <w14:textFill>
                  <w14:solidFill>
                    <w14:srgbClr w14:val="000000">
                      <w14:lumMod w14:val="75000"/>
                      <w14:lumOff w14:val="25000"/>
                    </w14:srgbClr>
                  </w14:solidFill>
                </w14:textFill>
              </w:rPr>
            </w:pPr>
            <w:r>
              <w:rPr>
                <w:rFonts w:hint="eastAsia" w:hAnsi="等线" w:cs="宋体"/>
                <w:color w:val="404040"/>
                <w:sz w:val="20"/>
                <w:szCs w:val="20"/>
                <w:lang w:bidi="ar"/>
              </w:rPr>
              <w:t xml:space="preserve">错义突变</w:t>
            </w:r>
          </w:p>
        </w:tc>
        <w:tc>
          <w:tcPr>
            <w:tcW w:w="126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int="eastAsia" w:hAnsi="等线" w:eastAsia="等线" w:cs="宋体"/>
                <w:color w:val="000000"/>
                <w:sz w:val="20"/>
                <w:szCs w:val="20"/>
                <w:lang w:eastAsia="zh-CN"/>
                <w14:textFill>
                  <w14:solidFill>
                    <w14:srgbClr w14:val="000000">
                      <w14:lumMod w14:val="75000"/>
                      <w14:lumOff w14:val="25000"/>
                    </w14:srgbClr>
                  </w14:solidFill>
                </w14:textFill>
              </w:rPr>
            </w:pPr>
            <w:r>
              <w:rPr>
                <w:rFonts w:hint="eastAsia" w:hAnsi="等线" w:cs="宋体"/>
                <w:color w:val="404040"/>
                <w:sz w:val="20"/>
                <w:szCs w:val="20"/>
                <w:lang w:bidi="ar"/>
              </w:rPr>
              <w:t xml:space="preserve">51.85%</w:t>
            </w:r>
          </w:p>
        </w:tc>
        <w:tc>
          <w:tcPr>
            <w:tcW w:w="1551"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int="eastAsia" w:hAnsi="等线" w:eastAsia="等线" w:cs="宋体"/>
                <w:color w:val="000000"/>
                <w:sz w:val="20"/>
                <w:szCs w:val="20"/>
                <w:lang w:eastAsia="zh-CN"/>
                <w14:textFill>
                  <w14:solidFill>
                    <w14:srgbClr w14:val="000000">
                      <w14:lumMod w14:val="75000"/>
                      <w14:lumOff w14:val="25000"/>
                    </w14:srgbClr>
                  </w14:solidFill>
                </w14:textFill>
              </w:rPr>
            </w:pPr>
            <w:r>
              <w:rPr>
                <w:rFonts w:hint="eastAsia" w:hAnsi="等线" w:cs="宋体"/>
                <w:color w:val="404040"/>
                <w:sz w:val="20"/>
                <w:szCs w:val="20"/>
                <w:lang w:bidi="ar"/>
              </w:rPr>
              <w:t xml:space="preserve">意义未明突变</w:t>
            </w:r>
          </w:p>
        </w:tc>
      </w:tr>
    </w:tbl>
    <w:p/>
    <w:p>
      <w:pPr>
        <w:rPr>
          <w:rFonts w:hAnsi="等线"/>
          <w:szCs w:val="21"/>
        </w:rPr>
      </w:pPr>
    </w:p>
    <w:p>
      <w:pPr>
        <w:snapToGrid w:val="0"/>
        <w:spacing w:after="156" w:afterLines="50"/>
        <w:jc w:val="left"/>
        <w:rPr>
          <w:rFonts w:hAnsi="等线"/>
          <w:b/>
          <w:bCs/>
          <w:szCs w:val="21"/>
        </w:rPr>
      </w:pPr>
      <w:r>
        <w:rPr>
          <w:rFonts w:hint="eastAsia" w:hAnsi="等线"/>
          <w:b/>
          <w:bCs/>
          <w:szCs w:val="21"/>
        </w:rPr>
        <w:t>说明：</w:t>
      </w:r>
    </w:p>
    <w:p>
      <w:pPr>
        <w:pStyle w:val="38"/>
        <w:numPr>
          <w:ilvl w:val="0"/>
          <w:numId w:val="3"/>
        </w:numPr>
        <w:spacing w:line="300" w:lineRule="auto"/>
        <w:ind w:firstLineChars="0"/>
        <w:rPr>
          <w:rFonts w:hAnsi="等线"/>
          <w:sz w:val="18"/>
          <w:szCs w:val="18"/>
        </w:rPr>
      </w:pPr>
      <w:r>
        <w:rPr>
          <w:rFonts w:hint="eastAsia" w:hAnsi="等线"/>
          <w:sz w:val="18"/>
          <w:szCs w:val="18"/>
        </w:rPr>
        <w:t>对</w:t>
      </w:r>
      <w:r>
        <w:rPr>
          <w:rFonts w:hAnsi="等线"/>
          <w:sz w:val="18"/>
          <w:szCs w:val="18"/>
        </w:rPr>
        <w:t>MMR基因突变的临床意义判读来源于ClinVar数据库注释结果，并参考国际癌症研究机构（International Agency for Research on Cancer, IARC）的基因变异临床意义分类及标准，</w:t>
      </w:r>
      <w:r>
        <w:rPr>
          <w:rFonts w:hint="eastAsia" w:hAnsi="等线"/>
          <w:sz w:val="18"/>
          <w:szCs w:val="18"/>
        </w:rPr>
        <w:t>本检测报导以下几种类型的基因</w:t>
      </w:r>
      <w:r>
        <w:rPr>
          <w:rFonts w:hAnsi="等线"/>
          <w:sz w:val="18"/>
          <w:szCs w:val="18"/>
        </w:rPr>
        <w:t>突变：</w:t>
      </w:r>
    </w:p>
    <w:p>
      <w:pPr>
        <w:pStyle w:val="38"/>
        <w:numPr>
          <w:ilvl w:val="1"/>
          <w:numId w:val="3"/>
        </w:numPr>
        <w:spacing w:line="300" w:lineRule="auto"/>
        <w:ind w:firstLineChars="0"/>
        <w:rPr>
          <w:rFonts w:hAnsi="等线"/>
          <w:sz w:val="18"/>
          <w:szCs w:val="18"/>
        </w:rPr>
      </w:pPr>
      <w:r>
        <w:rPr>
          <w:rFonts w:hint="eastAsia" w:hAnsi="等线"/>
          <w:sz w:val="18"/>
          <w:szCs w:val="18"/>
        </w:rPr>
        <w:t>致病突变：已证实能使癌症风险显著提高的突变；</w:t>
      </w:r>
    </w:p>
    <w:p>
      <w:pPr>
        <w:pStyle w:val="38"/>
        <w:numPr>
          <w:ilvl w:val="1"/>
          <w:numId w:val="3"/>
        </w:numPr>
        <w:spacing w:line="300" w:lineRule="auto"/>
        <w:ind w:firstLineChars="0"/>
        <w:rPr>
          <w:rFonts w:hAnsi="等线"/>
          <w:sz w:val="18"/>
          <w:szCs w:val="18"/>
        </w:rPr>
      </w:pPr>
      <w:r>
        <w:rPr>
          <w:rFonts w:hint="eastAsia" w:hAnsi="等线"/>
          <w:sz w:val="18"/>
          <w:szCs w:val="18"/>
        </w:rPr>
        <w:t>疑似致病突变：没有明确证据，当前认为该突变有害；</w:t>
      </w:r>
    </w:p>
    <w:p>
      <w:pPr>
        <w:pStyle w:val="38"/>
        <w:numPr>
          <w:ilvl w:val="1"/>
          <w:numId w:val="3"/>
        </w:numPr>
        <w:spacing w:line="300" w:lineRule="auto"/>
        <w:ind w:firstLineChars="0"/>
        <w:rPr>
          <w:rFonts w:hAnsi="等线"/>
          <w:sz w:val="18"/>
          <w:szCs w:val="18"/>
        </w:rPr>
      </w:pPr>
      <w:r>
        <w:rPr>
          <w:rFonts w:hint="eastAsia" w:hAnsi="等线"/>
          <w:sz w:val="18"/>
          <w:szCs w:val="18"/>
        </w:rPr>
        <w:t>意义未明突变：不确定该突变是有害还是无影响；</w:t>
      </w:r>
    </w:p>
    <w:p>
      <w:pPr>
        <w:pStyle w:val="38"/>
        <w:numPr>
          <w:ilvl w:val="0"/>
          <w:numId w:val="3"/>
        </w:numPr>
        <w:spacing w:line="300" w:lineRule="auto"/>
        <w:ind w:firstLineChars="0"/>
        <w:rPr>
          <w:rFonts w:hAnsi="等线"/>
          <w:color w:val="000000"/>
          <w:sz w:val="18"/>
          <w:szCs w:val="18"/>
        </w:rPr>
      </w:pPr>
      <w:r>
        <w:rPr>
          <w:rFonts w:hAnsi="等线"/>
          <w:color w:val="000000"/>
          <w:sz w:val="18"/>
          <w:szCs w:val="18"/>
        </w:rPr>
        <w:t>DNA错配修复（MMR）是DNA损伤</w:t>
      </w:r>
      <w:r>
        <w:rPr>
          <w:rFonts w:hint="eastAsia" w:hAnsi="等线"/>
          <w:color w:val="000000"/>
          <w:sz w:val="18"/>
          <w:szCs w:val="18"/>
        </w:rPr>
        <w:t>修复</w:t>
      </w:r>
      <w:r>
        <w:rPr>
          <w:rFonts w:hAnsi="等线"/>
          <w:color w:val="000000"/>
          <w:sz w:val="18"/>
          <w:szCs w:val="18"/>
        </w:rPr>
        <w:t>（DDR）的组成部分。参与MMR的基因主要包括MSH2，MSH6，MLH1，PMS2，EPCAM。MMR基因突变将导致Lynch综合征（Lynch Syndrome, LS）。一项研究招募了12种肿瘤的85名含错配修复缺陷（dMMR）的肿瘤患者，使用PD-1抗体Pembrolizumab</w:t>
      </w:r>
      <w:r>
        <w:rPr>
          <w:rFonts w:hint="eastAsia" w:hAnsi="等线"/>
          <w:color w:val="000000"/>
          <w:sz w:val="18"/>
          <w:szCs w:val="18"/>
        </w:rPr>
        <w:t>治疗后，其客观影像学缓解率为</w:t>
      </w:r>
      <w:r>
        <w:rPr>
          <w:rFonts w:hAnsi="等线"/>
          <w:color w:val="000000"/>
          <w:sz w:val="18"/>
          <w:szCs w:val="18"/>
        </w:rPr>
        <w:t>53%，其中21%</w:t>
      </w:r>
      <w:r>
        <w:rPr>
          <w:rFonts w:hint="eastAsia" w:hAnsi="等线"/>
          <w:color w:val="000000"/>
          <w:sz w:val="18"/>
          <w:szCs w:val="18"/>
        </w:rPr>
        <w:t>达到完全缓解（</w:t>
      </w:r>
      <w:r>
        <w:rPr>
          <w:rFonts w:hAnsi="等线"/>
          <w:color w:val="000000"/>
          <w:sz w:val="18"/>
          <w:szCs w:val="18"/>
        </w:rPr>
        <w:t xml:space="preserve">PMID: </w:t>
      </w:r>
      <w:r>
        <w:fldChar w:fldCharType="begin"/>
      </w:r>
      <w:r>
        <w:instrText xml:space="preserve"> HYPERLINK "https://www.ncbi.nlm.nih.gov/pubmed/28596308" </w:instrText>
      </w:r>
      <w:r>
        <w:fldChar w:fldCharType="separate"/>
      </w:r>
      <w:r>
        <w:rPr>
          <w:rFonts w:hAnsi="等线"/>
          <w:color w:val="000000"/>
          <w:sz w:val="18"/>
          <w:szCs w:val="18"/>
        </w:rPr>
        <w:t>28596308</w:t>
      </w:r>
      <w:r>
        <w:rPr>
          <w:rFonts w:hAnsi="等线"/>
          <w:color w:val="000000"/>
          <w:sz w:val="18"/>
          <w:szCs w:val="18"/>
        </w:rPr>
        <w:fldChar w:fldCharType="end"/>
      </w:r>
      <w:r>
        <w:rPr>
          <w:rFonts w:hint="eastAsia" w:hAnsi="等线"/>
          <w:color w:val="000000"/>
          <w:sz w:val="18"/>
          <w:szCs w:val="18"/>
        </w:rPr>
        <w:t>）。在结直肠癌患者中，使用</w:t>
      </w:r>
      <w:r>
        <w:rPr>
          <w:rFonts w:hAnsi="等线"/>
          <w:color w:val="000000"/>
          <w:sz w:val="18"/>
          <w:szCs w:val="18"/>
        </w:rPr>
        <w:t>Pembrolizumab</w:t>
      </w:r>
      <w:r>
        <w:rPr>
          <w:rFonts w:hint="eastAsia" w:hAnsi="等线"/>
          <w:color w:val="000000"/>
          <w:sz w:val="18"/>
          <w:szCs w:val="18"/>
        </w:rPr>
        <w:t>单抗治疗后，</w:t>
      </w:r>
      <w:r>
        <w:rPr>
          <w:rFonts w:hAnsi="等线"/>
          <w:color w:val="000000"/>
          <w:sz w:val="18"/>
          <w:szCs w:val="18"/>
        </w:rPr>
        <w:t>dMMR患者的客观缓解率和PFS rate分别为40% (4/10)和78% (7/9)，非dMMR患者的客观缓解率和PFS rate分别为0% (0/18)和11% (2/18)（PMID: 26028255）</w:t>
      </w:r>
      <w:r>
        <w:rPr>
          <w:rFonts w:hint="eastAsia" w:hAnsi="等线"/>
          <w:color w:val="000000"/>
          <w:sz w:val="18"/>
          <w:szCs w:val="18"/>
        </w:rPr>
        <w:t>。</w:t>
      </w:r>
    </w:p>
    <w:p>
      <w:pPr>
        <w:rPr>
          <w:rFonts w:hAnsi="等线"/>
          <w:szCs w:val="21"/>
        </w:rPr>
      </w:pPr>
      <w:r>
        <w:rPr>
          <w:rFonts w:hAnsi="等线"/>
          <w:szCs w:val="21"/>
        </w:rPr>
        <w:br w:type="page"/>
      </w:r>
    </w:p>
    <w:p>
      <w:pPr>
        <w:spacing w:line="360" w:lineRule="auto"/>
        <w:ind w:firstLine="560" w:firstLineChars="200"/>
        <w:jc w:val="left"/>
        <w:outlineLvl w:val="2"/>
        <w:rPr>
          <w:rFonts w:hAnsi="等线" w:cs="Arial"/>
          <w:b/>
          <w:bCs/>
          <w:color w:val="00B050"/>
          <w:sz w:val="28"/>
          <w:szCs w:val="28"/>
        </w:rPr>
      </w:pPr>
      <w:bookmarkStart w:id="63" w:name="抗原负荷TNB检测结果"/>
      <w:bookmarkEnd w:id="63"/>
      <w:bookmarkStart w:id="64" w:name="HLA分型结果"/>
      <w:bookmarkEnd w:id="64"/>
      <w:bookmarkStart w:id="65" w:name="正向预测"/>
      <w:bookmarkEnd w:id="65"/>
      <w:r>
        <w:rPr>
          <w:rFonts w:hint="eastAsia" w:hAnsi="等线" w:cs="Arial"/>
          <w:b/>
          <w:bCs/>
          <w:color w:val="00B050"/>
          <w:sz w:val="28"/>
          <w:szCs w:val="28"/>
        </w:rPr>
        <w:drawing>
          <wp:anchor distT="0" distB="0" distL="114300" distR="114300" simplePos="0" relativeHeight="251691008" behindDoc="0" locked="0" layoutInCell="1" allowOverlap="1">
            <wp:simplePos x="0" y="0"/>
            <wp:positionH relativeFrom="column">
              <wp:posOffset>24765</wp:posOffset>
            </wp:positionH>
            <wp:positionV relativeFrom="paragraph">
              <wp:posOffset>67945</wp:posOffset>
            </wp:positionV>
            <wp:extent cx="274955" cy="277495"/>
            <wp:effectExtent l="0" t="0" r="4445" b="1905"/>
            <wp:wrapNone/>
            <wp:docPr id="1029" name="图片 54" descr="D:\解码\4x\资源 2@45.png资源 2@45"/>
            <wp:cNvGraphicFramePr/>
            <a:graphic xmlns:a="http://schemas.openxmlformats.org/drawingml/2006/main">
              <a:graphicData uri="http://schemas.openxmlformats.org/drawingml/2006/picture">
                <pic:pic xmlns:pic="http://schemas.openxmlformats.org/drawingml/2006/picture">
                  <pic:nvPicPr>
                    <pic:cNvPr id="54" name="图片 54" descr="D:\解码\4x\资源 2@45.png资源 2@45"/>
                    <pic:cNvPicPr/>
                  </pic:nvPicPr>
                  <pic:blipFill>
                    <a:blip r:embed="rId14"/>
                    <a:srcRect/>
                    <a:stretch>
                      <a:fillRect/>
                    </a:stretch>
                  </pic:blipFill>
                  <pic:spPr>
                    <a:xfrm>
                      <a:off x="0" y="0"/>
                      <a:ext cx="274955" cy="277495"/>
                    </a:xfrm>
                    <a:prstGeom prst="rect">
                      <a:avLst/>
                    </a:prstGeom>
                  </pic:spPr>
                </pic:pic>
              </a:graphicData>
            </a:graphic>
          </wp:anchor>
        </w:drawing>
      </w:r>
      <w:r>
        <w:rPr>
          <w:rFonts w:hint="eastAsia" w:hAnsi="等线" w:cs="Arial"/>
          <w:b/>
          <w:bCs/>
          <w:color w:val="00B050"/>
          <w:sz w:val="28"/>
          <w:szCs w:val="28"/>
        </w:rPr>
        <w:t>目前FDA/NMPA批准的免疫抑制剂</w:t>
      </w:r>
    </w:p>
    <w:tbl>
      <w:tblPr>
        <w:tblStyle w:val="58"/>
        <w:tblW w:w="5000" w:type="pct"/>
        <w:tblInd w:w="0" w:type="dxa"/>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Layout w:type="fixed"/>
        <w:tblCellMar>
          <w:top w:w="0" w:type="dxa"/>
          <w:left w:w="108" w:type="dxa"/>
          <w:bottom w:w="0" w:type="dxa"/>
          <w:right w:w="108" w:type="dxa"/>
        </w:tblCellMar>
      </w:tblPr>
      <w:tblGrid>
        <w:gridCol w:w="1900"/>
        <w:gridCol w:w="1429"/>
        <w:gridCol w:w="1520"/>
        <w:gridCol w:w="5006"/>
      </w:tblGrid>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624" w:hRule="atLeast"/>
          <w:tblHeader/>
        </w:trPr>
        <w:tc>
          <w:tcPr>
            <w:tcW w:w="1900" w:type="dxa"/>
            <w:tcBorders>
              <w:insideV w:val="nil"/>
              <w:tl2br w:val="nil"/>
              <w:tr2bl w:val="nil"/>
            </w:tcBorders>
            <w:shd w:val="clear" w:color="auto" w:fill="00B050"/>
            <w:noWrap/>
            <w:vAlign w:val="center"/>
          </w:tcPr>
          <w:p>
            <w:pPr>
              <w:spacing w:line="360" w:lineRule="auto"/>
              <w:jc w:val="center"/>
              <w:rPr>
                <w:rFonts w:hAnsi="等线"/>
                <w:b/>
                <w:bCs/>
                <w:color w:val="FFFFFF"/>
                <w:szCs w:val="21"/>
              </w:rPr>
            </w:pPr>
            <w:r>
              <w:rPr>
                <w:rFonts w:hint="eastAsia" w:hAnsi="等线"/>
                <w:b/>
                <w:bCs/>
                <w:color w:val="FFFFFF"/>
                <w:szCs w:val="21"/>
              </w:rPr>
              <w:t>药物名称</w:t>
            </w:r>
          </w:p>
        </w:tc>
        <w:tc>
          <w:tcPr>
            <w:tcW w:w="1429" w:type="dxa"/>
            <w:tcBorders>
              <w:insideV w:val="nil"/>
              <w:tl2br w:val="nil"/>
              <w:tr2bl w:val="nil"/>
            </w:tcBorders>
            <w:shd w:val="clear" w:color="auto" w:fill="00B050"/>
            <w:vAlign w:val="center"/>
          </w:tcPr>
          <w:p>
            <w:pPr>
              <w:spacing w:line="360" w:lineRule="auto"/>
              <w:jc w:val="center"/>
              <w:rPr>
                <w:rFonts w:hAnsi="等线"/>
                <w:b/>
                <w:bCs/>
                <w:color w:val="FFFFFF"/>
                <w:szCs w:val="21"/>
              </w:rPr>
            </w:pPr>
            <w:r>
              <w:rPr>
                <w:rFonts w:hint="eastAsia" w:hAnsi="等线"/>
                <w:b/>
                <w:bCs/>
                <w:color w:val="FFFFFF"/>
                <w:szCs w:val="21"/>
              </w:rPr>
              <w:t>商品名</w:t>
            </w:r>
          </w:p>
        </w:tc>
        <w:tc>
          <w:tcPr>
            <w:tcW w:w="1520" w:type="dxa"/>
            <w:tcBorders>
              <w:insideV w:val="nil"/>
              <w:tl2br w:val="nil"/>
              <w:tr2bl w:val="nil"/>
            </w:tcBorders>
            <w:shd w:val="clear" w:color="auto" w:fill="00B050"/>
            <w:vAlign w:val="center"/>
          </w:tcPr>
          <w:p>
            <w:pPr>
              <w:spacing w:line="360" w:lineRule="auto"/>
              <w:jc w:val="center"/>
              <w:rPr>
                <w:rFonts w:hint="default" w:hAnsi="等线" w:eastAsia="等线"/>
                <w:b/>
                <w:bCs/>
                <w:color w:val="FFFFFF"/>
                <w:szCs w:val="21"/>
                <w:lang w:val="en-US" w:eastAsia="zh-CN"/>
              </w:rPr>
            </w:pPr>
            <w:r>
              <w:rPr>
                <w:rFonts w:hint="eastAsia" w:hAnsi="等线"/>
                <w:b/>
                <w:bCs/>
                <w:color w:val="FFFFFF"/>
                <w:szCs w:val="21"/>
                <w:lang w:val="en-US" w:eastAsia="zh-CN"/>
              </w:rPr>
              <w:t>国内是否上市</w:t>
            </w:r>
          </w:p>
        </w:tc>
        <w:tc>
          <w:tcPr>
            <w:tcW w:w="5006" w:type="dxa"/>
            <w:tcBorders>
              <w:insideV w:val="nil"/>
              <w:tl2br w:val="nil"/>
              <w:tr2bl w:val="nil"/>
            </w:tcBorders>
            <w:shd w:val="clear" w:color="auto" w:fill="00B050"/>
            <w:noWrap/>
            <w:vAlign w:val="center"/>
          </w:tcPr>
          <w:p>
            <w:pPr>
              <w:spacing w:line="360" w:lineRule="auto"/>
              <w:jc w:val="center"/>
              <w:rPr>
                <w:rFonts w:hAnsi="等线"/>
                <w:b/>
                <w:bCs/>
                <w:color w:val="FFFFFF"/>
                <w:szCs w:val="21"/>
              </w:rPr>
            </w:pPr>
            <w:r>
              <w:rPr>
                <w:rFonts w:hint="eastAsia" w:hAnsi="等线"/>
                <w:b/>
                <w:bCs/>
                <w:color w:val="FFFFFF"/>
                <w:szCs w:val="21"/>
              </w:rPr>
              <w:t>获批癌种</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F8F8F8"/>
            <w:noWrap/>
            <w:vAlign w:val="center"/>
          </w:tcPr>
          <w:p>
            <w:pPr>
              <w:spacing w:before="78" w:beforeLines="25" w:after="78" w:afterLines="25"/>
              <w:jc w:val="center"/>
              <w:rPr>
                <w:rFonts w:hAnsi="等线"/>
                <w:b w:val="0"/>
                <w:bCs w:val="0"/>
                <w:color w:val="000000"/>
                <w:sz w:val="20"/>
                <w:szCs w:val="20"/>
              </w:rPr>
            </w:pPr>
            <w:r>
              <w:rPr>
                <w:rFonts w:hAnsi="等线"/>
                <w:b w:val="0"/>
                <w:bCs w:val="0"/>
                <w:color w:val="000000"/>
                <w:sz w:val="20"/>
                <w:szCs w:val="20"/>
              </w:rPr>
              <w:t>I</w:t>
            </w:r>
            <w:r>
              <w:rPr>
                <w:rFonts w:hint="eastAsia" w:hAnsi="等线"/>
                <w:b w:val="0"/>
                <w:bCs w:val="0"/>
                <w:color w:val="000000"/>
                <w:sz w:val="20"/>
                <w:szCs w:val="20"/>
              </w:rPr>
              <w:t>pilimumab</w:t>
            </w:r>
          </w:p>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伊匹木单抗</w:t>
            </w:r>
          </w:p>
        </w:tc>
        <w:tc>
          <w:tcPr>
            <w:tcW w:w="1429"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hAnsi="等线"/>
                <w:color w:val="000000"/>
                <w:sz w:val="20"/>
                <w:szCs w:val="20"/>
              </w:rPr>
              <w:t>Y</w:t>
            </w:r>
            <w:r>
              <w:rPr>
                <w:rFonts w:hAnsi="等线"/>
                <w:color w:val="000000"/>
                <w:sz w:val="20"/>
                <w:szCs w:val="20"/>
              </w:rPr>
              <w:t>ervoy</w:t>
            </w:r>
          </w:p>
          <w:p>
            <w:pPr>
              <w:spacing w:before="78" w:beforeLines="25" w:after="78" w:afterLines="25"/>
              <w:jc w:val="center"/>
              <w:rPr>
                <w:rFonts w:hAnsi="等线"/>
                <w:color w:val="000000"/>
                <w:sz w:val="20"/>
                <w:szCs w:val="20"/>
              </w:rPr>
            </w:pPr>
            <w:r>
              <w:rPr>
                <w:rFonts w:hint="eastAsia" w:hAnsi="等线"/>
                <w:color w:val="000000"/>
                <w:sz w:val="20"/>
                <w:szCs w:val="20"/>
              </w:rPr>
              <w:t>逸沃</w:t>
            </w:r>
          </w:p>
        </w:tc>
        <w:tc>
          <w:tcPr>
            <w:tcW w:w="1520" w:type="dxa"/>
            <w:tcBorders>
              <w:tl2br w:val="nil"/>
              <w:tr2bl w:val="nil"/>
            </w:tcBorders>
            <w:shd w:val="clear" w:color="auto" w:fill="F8F8F8"/>
            <w:vAlign w:val="center"/>
          </w:tcPr>
          <w:p>
            <w:pPr>
              <w:spacing w:before="78" w:beforeLines="25" w:after="78" w:afterLines="25"/>
              <w:jc w:val="center"/>
              <w:rPr>
                <w:rFonts w:hint="eastAsia" w:hAnsi="等线" w:eastAsia="等线"/>
                <w:color w:val="000000"/>
                <w:sz w:val="20"/>
                <w:szCs w:val="20"/>
                <w:lang w:eastAsia="zh-CN"/>
              </w:rPr>
            </w:pPr>
            <w:r>
              <w:rPr>
                <w:rFonts w:hint="eastAsia" w:hAnsi="等线"/>
                <w:color w:val="000000"/>
                <w:sz w:val="20"/>
                <w:szCs w:val="20"/>
                <w:lang w:val="en-US" w:eastAsia="zh-CN"/>
              </w:rPr>
              <w:t>是</w:t>
            </w:r>
          </w:p>
        </w:tc>
        <w:tc>
          <w:tcPr>
            <w:tcW w:w="5006" w:type="dxa"/>
            <w:tcBorders>
              <w:tl2br w:val="nil"/>
              <w:tr2bl w:val="nil"/>
            </w:tcBorders>
            <w:shd w:val="clear" w:color="auto" w:fill="F8F8F8"/>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黑色素瘤，肾细胞癌，结直肠癌，肝细胞癌，</w:t>
            </w:r>
          </w:p>
          <w:p>
            <w:pPr>
              <w:spacing w:before="78" w:beforeLines="25" w:after="78" w:afterLines="25"/>
              <w:jc w:val="center"/>
              <w:rPr>
                <w:rFonts w:hAnsi="等线"/>
                <w:color w:val="000000"/>
                <w:sz w:val="20"/>
                <w:szCs w:val="20"/>
              </w:rPr>
            </w:pPr>
            <w:r>
              <w:rPr>
                <w:rFonts w:hint="eastAsia" w:hAnsi="等线"/>
                <w:color w:val="000000"/>
                <w:sz w:val="20"/>
                <w:szCs w:val="20"/>
              </w:rPr>
              <w:t>非小细胞肺癌，恶性胸膜间皮瘤，食管癌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BCE7B6"/>
            <w:noWrap/>
            <w:vAlign w:val="center"/>
          </w:tcPr>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Pembrolizumab</w:t>
            </w:r>
          </w:p>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帕博利珠单抗</w:t>
            </w:r>
          </w:p>
        </w:tc>
        <w:tc>
          <w:tcPr>
            <w:tcW w:w="1429"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hAnsi="等线"/>
                <w:color w:val="000000"/>
                <w:sz w:val="20"/>
                <w:szCs w:val="20"/>
              </w:rPr>
              <w:t>Keytruda</w:t>
            </w:r>
          </w:p>
          <w:p>
            <w:pPr>
              <w:spacing w:before="78" w:beforeLines="25" w:after="78" w:afterLines="25"/>
              <w:jc w:val="center"/>
              <w:rPr>
                <w:rFonts w:hAnsi="等线"/>
                <w:color w:val="000000"/>
                <w:sz w:val="20"/>
                <w:szCs w:val="20"/>
              </w:rPr>
            </w:pPr>
            <w:r>
              <w:rPr>
                <w:rFonts w:hint="eastAsia" w:hAnsi="等线"/>
                <w:color w:val="000000"/>
                <w:sz w:val="20"/>
                <w:szCs w:val="20"/>
              </w:rPr>
              <w:t>可瑞达</w:t>
            </w:r>
          </w:p>
        </w:tc>
        <w:tc>
          <w:tcPr>
            <w:tcW w:w="1520"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rPr>
              <w:t>是</w:t>
            </w:r>
          </w:p>
        </w:tc>
        <w:tc>
          <w:tcPr>
            <w:tcW w:w="5006" w:type="dxa"/>
            <w:tcBorders>
              <w:tl2br w:val="nil"/>
              <w:tr2bl w:val="nil"/>
            </w:tcBorders>
            <w:shd w:val="clear" w:color="auto" w:fill="BCE7B6"/>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黑色素瘤，非小细胞肺癌，头颈鳞状细胞癌，</w:t>
            </w:r>
          </w:p>
          <w:p>
            <w:pPr>
              <w:spacing w:before="78" w:beforeLines="25" w:after="78" w:afterLines="25"/>
              <w:jc w:val="center"/>
              <w:rPr>
                <w:rFonts w:hAnsi="等线"/>
                <w:color w:val="000000"/>
                <w:sz w:val="20"/>
                <w:szCs w:val="20"/>
              </w:rPr>
            </w:pPr>
            <w:r>
              <w:rPr>
                <w:rFonts w:hint="eastAsia" w:hAnsi="等线"/>
                <w:color w:val="000000"/>
                <w:sz w:val="20"/>
                <w:szCs w:val="20"/>
              </w:rPr>
              <w:t>经典型霍奇金淋巴瘤，原发纵隔大B细胞淋巴瘤，</w:t>
            </w:r>
          </w:p>
          <w:p>
            <w:pPr>
              <w:spacing w:before="78" w:beforeLines="25" w:after="78" w:afterLines="25"/>
              <w:jc w:val="center"/>
              <w:rPr>
                <w:rFonts w:hAnsi="等线"/>
                <w:color w:val="000000"/>
                <w:sz w:val="20"/>
                <w:szCs w:val="20"/>
              </w:rPr>
            </w:pPr>
            <w:r>
              <w:rPr>
                <w:rFonts w:hint="eastAsia" w:hAnsi="等线"/>
                <w:color w:val="000000"/>
                <w:sz w:val="20"/>
                <w:szCs w:val="20"/>
              </w:rPr>
              <w:t>尿路上皮癌，MSI-H/dMMR型实体瘤，</w:t>
            </w:r>
          </w:p>
          <w:p>
            <w:pPr>
              <w:spacing w:before="78" w:beforeLines="25" w:after="78" w:afterLines="25"/>
              <w:jc w:val="center"/>
              <w:rPr>
                <w:rFonts w:hAnsi="等线"/>
                <w:color w:val="000000"/>
                <w:sz w:val="20"/>
                <w:szCs w:val="20"/>
              </w:rPr>
            </w:pPr>
            <w:r>
              <w:rPr>
                <w:rFonts w:hint="eastAsia" w:hAnsi="等线"/>
                <w:color w:val="000000"/>
                <w:sz w:val="20"/>
                <w:szCs w:val="20"/>
              </w:rPr>
              <w:t>MSI-H/dMMR型结直肠癌，胃癌，食管癌，宫颈癌，</w:t>
            </w:r>
          </w:p>
          <w:p>
            <w:pPr>
              <w:spacing w:before="78" w:beforeLines="25" w:after="78" w:afterLines="25"/>
              <w:jc w:val="center"/>
              <w:rPr>
                <w:rFonts w:hAnsi="等线"/>
                <w:color w:val="000000"/>
                <w:sz w:val="20"/>
                <w:szCs w:val="20"/>
              </w:rPr>
            </w:pPr>
            <w:r>
              <w:rPr>
                <w:rFonts w:hint="eastAsia" w:hAnsi="等线"/>
                <w:color w:val="000000"/>
                <w:sz w:val="20"/>
                <w:szCs w:val="20"/>
              </w:rPr>
              <w:t>肝细胞癌，默克细胞癌，肾细胞癌，子宫内膜癌，</w:t>
            </w:r>
          </w:p>
          <w:p>
            <w:pPr>
              <w:spacing w:before="78" w:beforeLines="25" w:after="78" w:afterLines="25"/>
              <w:jc w:val="center"/>
              <w:rPr>
                <w:rFonts w:hAnsi="等线"/>
                <w:color w:val="000000"/>
                <w:sz w:val="20"/>
                <w:szCs w:val="20"/>
              </w:rPr>
            </w:pPr>
            <w:r>
              <w:rPr>
                <w:rFonts w:hint="eastAsia" w:hAnsi="等线"/>
                <w:color w:val="000000"/>
                <w:sz w:val="20"/>
                <w:szCs w:val="20"/>
              </w:rPr>
              <w:t>TMB-H型实体瘤，皮肤鳞状细胞癌，三阴性乳腺癌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F8F8F8"/>
            <w:noWrap/>
            <w:vAlign w:val="center"/>
          </w:tcPr>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Nivolumab</w:t>
            </w:r>
          </w:p>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纳武利尤单抗</w:t>
            </w:r>
          </w:p>
        </w:tc>
        <w:tc>
          <w:tcPr>
            <w:tcW w:w="1429"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hAnsi="等线"/>
                <w:color w:val="000000"/>
                <w:sz w:val="20"/>
                <w:szCs w:val="20"/>
              </w:rPr>
              <w:t>Opdivo</w:t>
            </w:r>
          </w:p>
          <w:p>
            <w:pPr>
              <w:spacing w:before="78" w:beforeLines="25" w:after="78" w:afterLines="25"/>
              <w:jc w:val="center"/>
              <w:rPr>
                <w:rFonts w:hAnsi="等线"/>
                <w:color w:val="000000"/>
                <w:sz w:val="20"/>
                <w:szCs w:val="20"/>
              </w:rPr>
            </w:pPr>
            <w:r>
              <w:rPr>
                <w:rFonts w:hint="eastAsia" w:hAnsi="等线"/>
                <w:color w:val="000000"/>
                <w:sz w:val="20"/>
                <w:szCs w:val="20"/>
              </w:rPr>
              <w:t>欧狄沃</w:t>
            </w:r>
          </w:p>
        </w:tc>
        <w:tc>
          <w:tcPr>
            <w:tcW w:w="1520"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rPr>
              <w:t>是</w:t>
            </w:r>
          </w:p>
        </w:tc>
        <w:tc>
          <w:tcPr>
            <w:tcW w:w="5006" w:type="dxa"/>
            <w:tcBorders>
              <w:tl2br w:val="nil"/>
              <w:tr2bl w:val="nil"/>
            </w:tcBorders>
            <w:shd w:val="clear" w:color="auto" w:fill="F8F8F8"/>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黑色素瘤，非小细胞肺癌，恶性胸膜间皮瘤，</w:t>
            </w:r>
          </w:p>
          <w:p>
            <w:pPr>
              <w:spacing w:before="78" w:beforeLines="25" w:after="78" w:afterLines="25"/>
              <w:jc w:val="center"/>
              <w:rPr>
                <w:rFonts w:hAnsi="等线"/>
                <w:color w:val="000000"/>
                <w:sz w:val="20"/>
                <w:szCs w:val="20"/>
              </w:rPr>
            </w:pPr>
            <w:r>
              <w:rPr>
                <w:rFonts w:hint="eastAsia" w:hAnsi="等线"/>
                <w:color w:val="000000"/>
                <w:sz w:val="20"/>
                <w:szCs w:val="20"/>
              </w:rPr>
              <w:t>肾细胞癌，经典型霍奇金淋巴瘤，头颈鳞状细胞癌，</w:t>
            </w:r>
          </w:p>
          <w:p>
            <w:pPr>
              <w:spacing w:before="78" w:beforeLines="25" w:after="78" w:afterLines="25"/>
              <w:jc w:val="center"/>
              <w:rPr>
                <w:rFonts w:hAnsi="等线"/>
                <w:color w:val="000000"/>
                <w:sz w:val="20"/>
                <w:szCs w:val="20"/>
              </w:rPr>
            </w:pPr>
            <w:r>
              <w:rPr>
                <w:rFonts w:hint="eastAsia" w:hAnsi="等线"/>
                <w:color w:val="000000"/>
                <w:sz w:val="20"/>
                <w:szCs w:val="20"/>
              </w:rPr>
              <w:t>尿路上皮癌，结直肠癌，肝细胞癌，食管癌，</w:t>
            </w:r>
          </w:p>
          <w:p>
            <w:pPr>
              <w:spacing w:before="78" w:beforeLines="25" w:after="78" w:afterLines="25"/>
              <w:jc w:val="center"/>
              <w:rPr>
                <w:rFonts w:hAnsi="等线"/>
                <w:color w:val="000000"/>
                <w:sz w:val="20"/>
                <w:szCs w:val="20"/>
              </w:rPr>
            </w:pPr>
            <w:r>
              <w:rPr>
                <w:rFonts w:hint="eastAsia" w:hAnsi="等线"/>
                <w:color w:val="000000"/>
                <w:sz w:val="20"/>
                <w:szCs w:val="20"/>
              </w:rPr>
              <w:t>胃及胃食管交界处腺癌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BCE7B6"/>
            <w:noWrap/>
            <w:vAlign w:val="center"/>
          </w:tcPr>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Atezolizumab</w:t>
            </w:r>
          </w:p>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阿替利珠单抗</w:t>
            </w:r>
          </w:p>
        </w:tc>
        <w:tc>
          <w:tcPr>
            <w:tcW w:w="1429"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hAnsi="等线"/>
                <w:color w:val="000000"/>
                <w:sz w:val="20"/>
                <w:szCs w:val="20"/>
              </w:rPr>
              <w:t>Tecentriq</w:t>
            </w:r>
          </w:p>
          <w:p>
            <w:pPr>
              <w:spacing w:before="78" w:beforeLines="25" w:after="78" w:afterLines="25"/>
              <w:jc w:val="center"/>
              <w:rPr>
                <w:rFonts w:hAnsi="等线"/>
                <w:color w:val="000000"/>
                <w:sz w:val="20"/>
                <w:szCs w:val="20"/>
              </w:rPr>
            </w:pPr>
            <w:r>
              <w:rPr>
                <w:rFonts w:hint="eastAsia" w:hAnsi="等线"/>
                <w:color w:val="000000"/>
                <w:sz w:val="20"/>
                <w:szCs w:val="20"/>
              </w:rPr>
              <w:t>泰圣奇</w:t>
            </w:r>
          </w:p>
        </w:tc>
        <w:tc>
          <w:tcPr>
            <w:tcW w:w="1520"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rPr>
              <w:t>是</w:t>
            </w:r>
          </w:p>
        </w:tc>
        <w:tc>
          <w:tcPr>
            <w:tcW w:w="5006" w:type="dxa"/>
            <w:tcBorders>
              <w:tl2br w:val="nil"/>
              <w:tr2bl w:val="nil"/>
            </w:tcBorders>
            <w:shd w:val="clear" w:color="auto" w:fill="BCE7B6"/>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非小细胞肺癌，小细胞肺癌，</w:t>
            </w:r>
          </w:p>
          <w:p>
            <w:pPr>
              <w:spacing w:before="78" w:beforeLines="25" w:after="78" w:afterLines="25"/>
              <w:jc w:val="center"/>
              <w:rPr>
                <w:rFonts w:hAnsi="等线"/>
                <w:color w:val="000000"/>
                <w:sz w:val="20"/>
                <w:szCs w:val="20"/>
              </w:rPr>
            </w:pPr>
            <w:r>
              <w:rPr>
                <w:rFonts w:hint="eastAsia" w:hAnsi="等线"/>
                <w:color w:val="000000"/>
                <w:sz w:val="20"/>
                <w:szCs w:val="20"/>
              </w:rPr>
              <w:t>肝细胞癌，黑色素瘤，腺泡状软组织肉瘤</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F8F8F8"/>
            <w:noWrap/>
            <w:vAlign w:val="center"/>
          </w:tcPr>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Durvalumab</w:t>
            </w:r>
          </w:p>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度伐利尤单抗</w:t>
            </w:r>
          </w:p>
        </w:tc>
        <w:tc>
          <w:tcPr>
            <w:tcW w:w="1429"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hAnsi="等线"/>
                <w:color w:val="000000"/>
                <w:sz w:val="20"/>
                <w:szCs w:val="20"/>
              </w:rPr>
              <w:t>Imfinzi</w:t>
            </w:r>
          </w:p>
          <w:p>
            <w:pPr>
              <w:spacing w:before="78" w:beforeLines="25" w:after="78" w:afterLines="25"/>
              <w:jc w:val="center"/>
              <w:rPr>
                <w:rFonts w:hAnsi="等线"/>
                <w:color w:val="000000"/>
                <w:sz w:val="20"/>
                <w:szCs w:val="20"/>
              </w:rPr>
            </w:pPr>
            <w:r>
              <w:rPr>
                <w:rFonts w:hint="eastAsia" w:hAnsi="等线"/>
                <w:color w:val="000000"/>
                <w:sz w:val="20"/>
                <w:szCs w:val="20"/>
              </w:rPr>
              <w:t>英飞凡</w:t>
            </w:r>
          </w:p>
        </w:tc>
        <w:tc>
          <w:tcPr>
            <w:tcW w:w="1520"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rPr>
              <w:t>是</w:t>
            </w:r>
          </w:p>
        </w:tc>
        <w:tc>
          <w:tcPr>
            <w:tcW w:w="5006" w:type="dxa"/>
            <w:tcBorders>
              <w:tl2br w:val="nil"/>
              <w:tr2bl w:val="nil"/>
            </w:tcBorders>
            <w:shd w:val="clear" w:color="auto" w:fill="F8F8F8"/>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非小细胞肺癌，小细胞肺癌，胆道癌，</w:t>
            </w:r>
            <w:r>
              <w:rPr>
                <w:rFonts w:ascii="Helvetica" w:hAnsi="Helvetica"/>
                <w:color w:val="333333"/>
                <w:sz w:val="20"/>
                <w:szCs w:val="20"/>
              </w:rPr>
              <w:t>肝细胞癌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BCE7B6"/>
            <w:noWrap/>
            <w:vAlign w:val="center"/>
          </w:tcPr>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Toripalimab</w:t>
            </w:r>
          </w:p>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特瑞普利单抗</w:t>
            </w:r>
          </w:p>
        </w:tc>
        <w:tc>
          <w:tcPr>
            <w:tcW w:w="1429"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hAnsi="等线"/>
                <w:color w:val="000000"/>
                <w:sz w:val="20"/>
                <w:szCs w:val="20"/>
              </w:rPr>
              <w:t>拓益</w:t>
            </w:r>
          </w:p>
        </w:tc>
        <w:tc>
          <w:tcPr>
            <w:tcW w:w="1520"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rPr>
              <w:t>是</w:t>
            </w:r>
          </w:p>
        </w:tc>
        <w:tc>
          <w:tcPr>
            <w:tcW w:w="5006" w:type="dxa"/>
            <w:tcBorders>
              <w:tl2br w:val="nil"/>
              <w:tr2bl w:val="nil"/>
            </w:tcBorders>
            <w:shd w:val="clear" w:color="auto" w:fill="BCE7B6"/>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黑色素瘤，</w:t>
            </w:r>
            <w:r>
              <w:rPr>
                <w:rFonts w:hint="eastAsia" w:hAnsi="等线"/>
                <w:sz w:val="20"/>
                <w:szCs w:val="20"/>
              </w:rPr>
              <w:t>尿路上皮癌，鼻咽癌，食管鳞状细胞癌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F8F8F8"/>
            <w:noWrap/>
            <w:vAlign w:val="center"/>
          </w:tcPr>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Sintilimab</w:t>
            </w:r>
          </w:p>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信迪利单抗</w:t>
            </w:r>
          </w:p>
        </w:tc>
        <w:tc>
          <w:tcPr>
            <w:tcW w:w="1429"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hAnsi="等线"/>
                <w:color w:val="000000"/>
                <w:sz w:val="20"/>
                <w:szCs w:val="20"/>
              </w:rPr>
              <w:t>达伯舒</w:t>
            </w:r>
          </w:p>
        </w:tc>
        <w:tc>
          <w:tcPr>
            <w:tcW w:w="1520"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rPr>
              <w:t>是</w:t>
            </w:r>
          </w:p>
        </w:tc>
        <w:tc>
          <w:tcPr>
            <w:tcW w:w="5006" w:type="dxa"/>
            <w:tcBorders>
              <w:tl2br w:val="nil"/>
              <w:tr2bl w:val="nil"/>
            </w:tcBorders>
            <w:shd w:val="clear" w:color="auto" w:fill="F8F8F8"/>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经典型霍奇金淋巴瘤，非小细胞肺癌，肝细胞癌，</w:t>
            </w:r>
          </w:p>
          <w:p>
            <w:pPr>
              <w:spacing w:before="78" w:beforeLines="25" w:after="78" w:afterLines="25"/>
              <w:jc w:val="center"/>
              <w:rPr>
                <w:rFonts w:hAnsi="等线"/>
                <w:color w:val="000000"/>
                <w:sz w:val="20"/>
                <w:szCs w:val="20"/>
              </w:rPr>
            </w:pPr>
            <w:r>
              <w:rPr>
                <w:rFonts w:hint="eastAsia" w:hAnsi="等线"/>
                <w:sz w:val="20"/>
                <w:szCs w:val="20"/>
              </w:rPr>
              <w:t>食管鳞状细胞癌</w:t>
            </w:r>
            <w:r>
              <w:rPr>
                <w:rFonts w:hint="eastAsia" w:hAnsi="等线"/>
                <w:color w:val="000000"/>
                <w:sz w:val="20"/>
                <w:szCs w:val="20"/>
              </w:rPr>
              <w:t>，胃及胃食管交界处腺癌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BCE7B6"/>
            <w:noWrap/>
            <w:vAlign w:val="center"/>
          </w:tcPr>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Camrelizumab</w:t>
            </w:r>
          </w:p>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卡瑞利珠单抗</w:t>
            </w:r>
          </w:p>
        </w:tc>
        <w:tc>
          <w:tcPr>
            <w:tcW w:w="1429"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hAnsi="等线"/>
                <w:color w:val="000000"/>
                <w:sz w:val="20"/>
                <w:szCs w:val="20"/>
              </w:rPr>
              <w:t>艾瑞卡</w:t>
            </w:r>
          </w:p>
        </w:tc>
        <w:tc>
          <w:tcPr>
            <w:tcW w:w="1520"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rPr>
              <w:t>是</w:t>
            </w:r>
          </w:p>
        </w:tc>
        <w:tc>
          <w:tcPr>
            <w:tcW w:w="5006" w:type="dxa"/>
            <w:tcBorders>
              <w:tl2br w:val="nil"/>
              <w:tr2bl w:val="nil"/>
            </w:tcBorders>
            <w:shd w:val="clear" w:color="auto" w:fill="BCE7B6"/>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经典型霍奇金淋巴瘤，肝细胞癌，</w:t>
            </w:r>
          </w:p>
          <w:p>
            <w:pPr>
              <w:spacing w:before="78" w:beforeLines="25" w:after="78" w:afterLines="25"/>
              <w:jc w:val="center"/>
              <w:rPr>
                <w:rFonts w:hAnsi="等线"/>
                <w:color w:val="000000"/>
                <w:sz w:val="20"/>
                <w:szCs w:val="20"/>
              </w:rPr>
            </w:pPr>
            <w:r>
              <w:rPr>
                <w:rFonts w:hint="eastAsia" w:hAnsi="等线"/>
                <w:color w:val="000000"/>
                <w:sz w:val="20"/>
                <w:szCs w:val="20"/>
              </w:rPr>
              <w:t>非小细胞肺癌，食管鳞癌，鼻咽癌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F8F8F8"/>
            <w:noWrap/>
            <w:vAlign w:val="center"/>
          </w:tcPr>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Tislelizumab</w:t>
            </w:r>
          </w:p>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替雷利珠单抗</w:t>
            </w:r>
          </w:p>
        </w:tc>
        <w:tc>
          <w:tcPr>
            <w:tcW w:w="1429"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hAnsi="等线"/>
                <w:color w:val="000000"/>
                <w:sz w:val="20"/>
                <w:szCs w:val="20"/>
              </w:rPr>
              <w:t>百泽安</w:t>
            </w:r>
          </w:p>
        </w:tc>
        <w:tc>
          <w:tcPr>
            <w:tcW w:w="1520"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rPr>
              <w:t>是</w:t>
            </w:r>
          </w:p>
        </w:tc>
        <w:tc>
          <w:tcPr>
            <w:tcW w:w="5006" w:type="dxa"/>
            <w:tcBorders>
              <w:tl2br w:val="nil"/>
              <w:tr2bl w:val="nil"/>
            </w:tcBorders>
            <w:shd w:val="clear" w:color="auto" w:fill="F8F8F8"/>
            <w:noWrap/>
            <w:vAlign w:val="center"/>
          </w:tcPr>
          <w:p>
            <w:pPr>
              <w:jc w:val="center"/>
              <w:rPr>
                <w:rFonts w:hAnsi="等线"/>
                <w:color w:val="000000"/>
                <w:sz w:val="20"/>
                <w:szCs w:val="20"/>
              </w:rPr>
            </w:pPr>
            <w:r>
              <w:rPr>
                <w:rFonts w:hint="eastAsia" w:hAnsi="等线"/>
                <w:color w:val="000000"/>
                <w:sz w:val="20"/>
                <w:szCs w:val="20"/>
              </w:rPr>
              <w:t>经典型霍奇金淋巴瘤，尿路上皮癌，</w:t>
            </w:r>
          </w:p>
          <w:p>
            <w:pPr>
              <w:jc w:val="center"/>
              <w:rPr>
                <w:rFonts w:hAnsi="等线"/>
                <w:color w:val="000000"/>
                <w:sz w:val="20"/>
                <w:szCs w:val="20"/>
              </w:rPr>
            </w:pPr>
            <w:r>
              <w:rPr>
                <w:rFonts w:hint="eastAsia" w:hAnsi="等线"/>
                <w:color w:val="000000"/>
                <w:sz w:val="20"/>
                <w:szCs w:val="20"/>
              </w:rPr>
              <w:t>非小细胞肺癌，肝细胞癌，MSI-H型实体瘤，</w:t>
            </w:r>
          </w:p>
          <w:p>
            <w:pPr>
              <w:jc w:val="center"/>
              <w:rPr>
                <w:rFonts w:hAnsi="等线"/>
                <w:color w:val="000000"/>
                <w:sz w:val="20"/>
                <w:szCs w:val="20"/>
              </w:rPr>
            </w:pPr>
            <w:r>
              <w:rPr>
                <w:rFonts w:hint="eastAsia" w:hAnsi="等线"/>
                <w:color w:val="000000"/>
                <w:sz w:val="20"/>
                <w:szCs w:val="20"/>
              </w:rPr>
              <w:t>食管鳞状细胞癌，鼻咽癌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BCE7B6"/>
            <w:noWrap/>
            <w:vAlign w:val="center"/>
          </w:tcPr>
          <w:p>
            <w:pPr>
              <w:spacing w:before="78" w:beforeLines="25" w:after="78" w:afterLines="25"/>
              <w:jc w:val="center"/>
              <w:rPr>
                <w:rFonts w:hAnsi="等线"/>
                <w:b w:val="0"/>
                <w:bCs w:val="0"/>
                <w:color w:val="000000"/>
                <w:sz w:val="20"/>
                <w:szCs w:val="20"/>
              </w:rPr>
            </w:pPr>
            <w:r>
              <w:rPr>
                <w:rFonts w:hAnsi="等线"/>
                <w:b w:val="0"/>
                <w:bCs w:val="0"/>
                <w:color w:val="000000"/>
                <w:sz w:val="20"/>
                <w:szCs w:val="20"/>
              </w:rPr>
              <w:t>Penpulimab</w:t>
            </w:r>
          </w:p>
          <w:p>
            <w:pPr>
              <w:spacing w:before="78" w:beforeLines="25" w:after="78" w:afterLines="25"/>
              <w:jc w:val="center"/>
              <w:rPr>
                <w:rFonts w:hAnsi="等线"/>
                <w:b w:val="0"/>
                <w:bCs w:val="0"/>
                <w:color w:val="000000"/>
                <w:sz w:val="20"/>
                <w:szCs w:val="20"/>
              </w:rPr>
            </w:pPr>
            <w:r>
              <w:rPr>
                <w:rFonts w:hAnsi="等线"/>
                <w:b w:val="0"/>
                <w:bCs w:val="0"/>
                <w:color w:val="000000"/>
                <w:sz w:val="20"/>
                <w:szCs w:val="20"/>
              </w:rPr>
              <w:t>派安普利单抗</w:t>
            </w:r>
          </w:p>
        </w:tc>
        <w:tc>
          <w:tcPr>
            <w:tcW w:w="1429"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hAnsi="等线"/>
                <w:color w:val="000000"/>
                <w:sz w:val="20"/>
                <w:szCs w:val="20"/>
              </w:rPr>
              <w:t>安尼可</w:t>
            </w:r>
          </w:p>
        </w:tc>
        <w:tc>
          <w:tcPr>
            <w:tcW w:w="1520"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rPr>
              <w:t>是</w:t>
            </w:r>
          </w:p>
        </w:tc>
        <w:tc>
          <w:tcPr>
            <w:tcW w:w="5006" w:type="dxa"/>
            <w:tcBorders>
              <w:tl2br w:val="nil"/>
              <w:tr2bl w:val="nil"/>
            </w:tcBorders>
            <w:shd w:val="clear" w:color="auto" w:fill="BCE7B6"/>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经典型霍奇金淋巴瘤，鳞状非小细胞肺癌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F8F8F8"/>
            <w:noWrap/>
            <w:vAlign w:val="center"/>
          </w:tcPr>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Zimberelimab</w:t>
            </w:r>
          </w:p>
          <w:p>
            <w:pPr>
              <w:spacing w:before="78" w:beforeLines="25" w:after="78" w:afterLines="25"/>
              <w:jc w:val="center"/>
              <w:rPr>
                <w:rFonts w:hAnsi="等线"/>
                <w:b w:val="0"/>
                <w:bCs w:val="0"/>
                <w:color w:val="000000"/>
                <w:sz w:val="20"/>
                <w:szCs w:val="20"/>
              </w:rPr>
            </w:pPr>
            <w:r>
              <w:rPr>
                <w:rFonts w:hAnsi="等线"/>
                <w:b w:val="0"/>
                <w:bCs w:val="0"/>
                <w:color w:val="000000"/>
                <w:sz w:val="20"/>
                <w:szCs w:val="20"/>
              </w:rPr>
              <w:t>赛帕利单抗</w:t>
            </w:r>
          </w:p>
        </w:tc>
        <w:tc>
          <w:tcPr>
            <w:tcW w:w="1429"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hAnsi="等线"/>
                <w:color w:val="000000"/>
                <w:sz w:val="20"/>
                <w:szCs w:val="20"/>
              </w:rPr>
              <w:t>誉妥</w:t>
            </w:r>
          </w:p>
        </w:tc>
        <w:tc>
          <w:tcPr>
            <w:tcW w:w="1520"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rPr>
              <w:t>是</w:t>
            </w:r>
          </w:p>
        </w:tc>
        <w:tc>
          <w:tcPr>
            <w:tcW w:w="5006" w:type="dxa"/>
            <w:tcBorders>
              <w:tl2br w:val="nil"/>
              <w:tr2bl w:val="nil"/>
            </w:tcBorders>
            <w:shd w:val="clear" w:color="auto" w:fill="F8F8F8"/>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经典型霍奇金淋巴瘤</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BCE7B6"/>
            <w:noWrap/>
            <w:vAlign w:val="center"/>
          </w:tcPr>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Envafolimab</w:t>
            </w:r>
          </w:p>
          <w:p>
            <w:pPr>
              <w:spacing w:before="78" w:beforeLines="25" w:after="78" w:afterLines="25"/>
              <w:jc w:val="center"/>
              <w:rPr>
                <w:rFonts w:hAnsi="等线"/>
                <w:b w:val="0"/>
                <w:bCs w:val="0"/>
                <w:color w:val="000000"/>
                <w:sz w:val="20"/>
                <w:szCs w:val="20"/>
              </w:rPr>
            </w:pPr>
            <w:r>
              <w:rPr>
                <w:rFonts w:hAnsi="等线"/>
                <w:b w:val="0"/>
                <w:bCs w:val="0"/>
                <w:color w:val="000000"/>
                <w:sz w:val="20"/>
                <w:szCs w:val="20"/>
              </w:rPr>
              <w:t>恩沃利单抗</w:t>
            </w:r>
          </w:p>
        </w:tc>
        <w:tc>
          <w:tcPr>
            <w:tcW w:w="1429"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hAnsi="等线"/>
                <w:color w:val="000000"/>
                <w:sz w:val="20"/>
                <w:szCs w:val="20"/>
              </w:rPr>
              <w:t>恩维达</w:t>
            </w:r>
          </w:p>
        </w:tc>
        <w:tc>
          <w:tcPr>
            <w:tcW w:w="1520" w:type="dxa"/>
            <w:tcBorders>
              <w:tl2br w:val="nil"/>
              <w:tr2bl w:val="nil"/>
            </w:tcBorders>
            <w:shd w:val="clear" w:color="auto" w:fill="BCE7B6"/>
            <w:vAlign w:val="center"/>
          </w:tcPr>
          <w:p>
            <w:pPr>
              <w:jc w:val="center"/>
              <w:rPr>
                <w:rFonts w:hAnsi="等线"/>
                <w:color w:val="000000"/>
                <w:sz w:val="20"/>
                <w:szCs w:val="20"/>
              </w:rPr>
            </w:pPr>
            <w:r>
              <w:rPr>
                <w:rFonts w:hint="eastAsia"/>
              </w:rPr>
              <w:t>是</w:t>
            </w:r>
          </w:p>
        </w:tc>
        <w:tc>
          <w:tcPr>
            <w:tcW w:w="5006" w:type="dxa"/>
            <w:tcBorders>
              <w:tl2br w:val="nil"/>
              <w:tr2bl w:val="nil"/>
            </w:tcBorders>
            <w:shd w:val="clear" w:color="auto" w:fill="BCE7B6"/>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MSI-H/dMMR型实体瘤</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F8F8F8"/>
            <w:noWrap/>
            <w:vAlign w:val="center"/>
          </w:tcPr>
          <w:p>
            <w:pPr>
              <w:spacing w:before="78" w:beforeLines="25" w:after="78" w:afterLines="25"/>
              <w:jc w:val="center"/>
              <w:rPr>
                <w:rFonts w:hAnsi="等线"/>
                <w:b w:val="0"/>
                <w:bCs w:val="0"/>
                <w:color w:val="000000"/>
                <w:sz w:val="20"/>
                <w:szCs w:val="20"/>
              </w:rPr>
            </w:pPr>
            <w:r>
              <w:rPr>
                <w:rFonts w:hAnsi="等线"/>
                <w:b w:val="0"/>
                <w:bCs w:val="0"/>
                <w:color w:val="000000"/>
                <w:sz w:val="20"/>
                <w:szCs w:val="20"/>
              </w:rPr>
              <w:t>Sugemalimab</w:t>
            </w:r>
          </w:p>
          <w:p>
            <w:pPr>
              <w:spacing w:before="78" w:beforeLines="25" w:after="78" w:afterLines="25"/>
              <w:jc w:val="center"/>
              <w:rPr>
                <w:rFonts w:hAnsi="等线"/>
                <w:b w:val="0"/>
                <w:bCs w:val="0"/>
                <w:color w:val="000000"/>
                <w:sz w:val="20"/>
                <w:szCs w:val="20"/>
              </w:rPr>
            </w:pPr>
            <w:r>
              <w:rPr>
                <w:rFonts w:hAnsi="等线"/>
                <w:b w:val="0"/>
                <w:bCs w:val="0"/>
                <w:color w:val="000000"/>
                <w:sz w:val="20"/>
                <w:szCs w:val="20"/>
              </w:rPr>
              <w:t>舒格利单抗</w:t>
            </w:r>
          </w:p>
        </w:tc>
        <w:tc>
          <w:tcPr>
            <w:tcW w:w="1429"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hAnsi="等线"/>
                <w:color w:val="000000"/>
                <w:sz w:val="20"/>
                <w:szCs w:val="20"/>
              </w:rPr>
              <w:t>择捷美</w:t>
            </w:r>
          </w:p>
        </w:tc>
        <w:tc>
          <w:tcPr>
            <w:tcW w:w="1520"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rPr>
              <w:t>是</w:t>
            </w:r>
          </w:p>
        </w:tc>
        <w:tc>
          <w:tcPr>
            <w:tcW w:w="5006" w:type="dxa"/>
            <w:tcBorders>
              <w:tl2br w:val="nil"/>
              <w:tr2bl w:val="nil"/>
            </w:tcBorders>
            <w:shd w:val="clear" w:color="auto" w:fill="F8F8F8"/>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非小细胞肺癌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BCE7B6"/>
            <w:noWrap/>
            <w:vAlign w:val="center"/>
          </w:tcPr>
          <w:p>
            <w:pPr>
              <w:spacing w:before="78" w:beforeLines="25" w:after="78" w:afterLines="25"/>
              <w:jc w:val="center"/>
              <w:rPr>
                <w:rFonts w:hAnsi="等线"/>
                <w:b w:val="0"/>
                <w:bCs w:val="0"/>
                <w:color w:val="000000"/>
                <w:sz w:val="20"/>
                <w:szCs w:val="20"/>
              </w:rPr>
            </w:pPr>
            <w:r>
              <w:rPr>
                <w:rFonts w:hAnsi="等线"/>
                <w:b w:val="0"/>
                <w:bCs w:val="0"/>
                <w:color w:val="000000"/>
                <w:sz w:val="20"/>
                <w:szCs w:val="20"/>
              </w:rPr>
              <w:t>Serplulimab</w:t>
            </w:r>
          </w:p>
          <w:p>
            <w:pPr>
              <w:spacing w:before="78" w:beforeLines="25" w:after="78" w:afterLines="25"/>
              <w:jc w:val="center"/>
              <w:rPr>
                <w:rFonts w:hAnsi="等线"/>
                <w:b/>
                <w:bCs/>
                <w:color w:val="000000"/>
                <w:sz w:val="20"/>
                <w:szCs w:val="20"/>
              </w:rPr>
            </w:pPr>
            <w:r>
              <w:rPr>
                <w:rFonts w:hAnsi="等线"/>
                <w:b w:val="0"/>
                <w:bCs w:val="0"/>
                <w:color w:val="000000"/>
                <w:sz w:val="20"/>
                <w:szCs w:val="20"/>
              </w:rPr>
              <w:t>斯鲁利单抗</w:t>
            </w:r>
          </w:p>
        </w:tc>
        <w:tc>
          <w:tcPr>
            <w:tcW w:w="1429"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Ansi="等线"/>
                <w:color w:val="000000"/>
                <w:sz w:val="20"/>
                <w:szCs w:val="20"/>
              </w:rPr>
              <w:t>汉斯状</w:t>
            </w:r>
          </w:p>
        </w:tc>
        <w:tc>
          <w:tcPr>
            <w:tcW w:w="1520"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rPr>
              <w:t>是</w:t>
            </w:r>
          </w:p>
        </w:tc>
        <w:tc>
          <w:tcPr>
            <w:tcW w:w="5006" w:type="dxa"/>
            <w:tcBorders>
              <w:tl2br w:val="nil"/>
              <w:tr2bl w:val="nil"/>
            </w:tcBorders>
            <w:shd w:val="clear" w:color="auto" w:fill="BCE7B6"/>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MSI-H型实体瘤</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F8F8F8"/>
            <w:noWrap/>
            <w:vAlign w:val="center"/>
          </w:tcPr>
          <w:p>
            <w:pPr>
              <w:jc w:val="center"/>
              <w:rPr>
                <w:rFonts w:hAnsi="等线"/>
                <w:b w:val="0"/>
                <w:bCs w:val="0"/>
                <w:color w:val="000000"/>
                <w:sz w:val="20"/>
                <w:szCs w:val="20"/>
              </w:rPr>
            </w:pPr>
            <w:r>
              <w:rPr>
                <w:rFonts w:hint="eastAsia" w:hAnsi="等线"/>
                <w:b w:val="0"/>
                <w:bCs w:val="0"/>
                <w:color w:val="000000"/>
                <w:sz w:val="20"/>
                <w:szCs w:val="20"/>
              </w:rPr>
              <w:t>Cadonilimab</w:t>
            </w:r>
          </w:p>
          <w:p>
            <w:pPr>
              <w:jc w:val="center"/>
              <w:rPr>
                <w:rFonts w:hAnsi="等线"/>
                <w:b w:val="0"/>
                <w:bCs w:val="0"/>
                <w:color w:val="000000"/>
                <w:sz w:val="20"/>
                <w:szCs w:val="20"/>
              </w:rPr>
            </w:pPr>
            <w:r>
              <w:rPr>
                <w:rFonts w:hint="eastAsia" w:hAnsi="等线"/>
                <w:b w:val="0"/>
                <w:bCs w:val="0"/>
                <w:color w:val="000000"/>
                <w:sz w:val="20"/>
                <w:szCs w:val="20"/>
              </w:rPr>
              <w:t>卡度尼利单抗</w:t>
            </w:r>
          </w:p>
        </w:tc>
        <w:tc>
          <w:tcPr>
            <w:tcW w:w="1429" w:type="dxa"/>
            <w:tcBorders>
              <w:tl2br w:val="nil"/>
              <w:tr2bl w:val="nil"/>
            </w:tcBorders>
            <w:shd w:val="clear" w:color="auto" w:fill="F8F8F8"/>
            <w:vAlign w:val="center"/>
          </w:tcPr>
          <w:p>
            <w:pPr>
              <w:jc w:val="center"/>
              <w:rPr>
                <w:rFonts w:hAnsi="等线"/>
                <w:color w:val="0000FF"/>
                <w:sz w:val="20"/>
                <w:szCs w:val="20"/>
              </w:rPr>
            </w:pPr>
            <w:r>
              <w:rPr>
                <w:rFonts w:hint="eastAsia" w:hAnsi="等线"/>
                <w:sz w:val="20"/>
                <w:szCs w:val="20"/>
              </w:rPr>
              <w:t>开坦尼</w:t>
            </w:r>
          </w:p>
        </w:tc>
        <w:tc>
          <w:tcPr>
            <w:tcW w:w="1520" w:type="dxa"/>
            <w:tcBorders>
              <w:tl2br w:val="nil"/>
              <w:tr2bl w:val="nil"/>
            </w:tcBorders>
            <w:shd w:val="clear" w:color="auto" w:fill="F8F8F8"/>
            <w:vAlign w:val="center"/>
          </w:tcPr>
          <w:p>
            <w:pPr>
              <w:spacing w:before="78" w:beforeLines="25" w:after="78" w:afterLines="25"/>
              <w:jc w:val="center"/>
              <w:rPr>
                <w:rFonts w:hAnsi="等线"/>
                <w:color w:val="0000FF"/>
                <w:sz w:val="20"/>
                <w:szCs w:val="20"/>
              </w:rPr>
            </w:pPr>
            <w:r>
              <w:rPr>
                <w:rFonts w:hint="eastAsia"/>
              </w:rPr>
              <w:t>是</w:t>
            </w:r>
          </w:p>
        </w:tc>
        <w:tc>
          <w:tcPr>
            <w:tcW w:w="5006" w:type="dxa"/>
            <w:tcBorders>
              <w:tl2br w:val="nil"/>
              <w:tr2bl w:val="nil"/>
            </w:tcBorders>
            <w:shd w:val="clear" w:color="auto" w:fill="F8F8F8"/>
            <w:noWrap/>
            <w:vAlign w:val="center"/>
          </w:tcPr>
          <w:p>
            <w:pPr>
              <w:jc w:val="center"/>
              <w:rPr>
                <w:rFonts w:hAnsi="等线"/>
                <w:color w:val="000000"/>
                <w:sz w:val="20"/>
                <w:szCs w:val="20"/>
              </w:rPr>
            </w:pPr>
            <w:r>
              <w:rPr>
                <w:rFonts w:hint="eastAsia" w:hAnsi="等线"/>
                <w:color w:val="000000"/>
                <w:sz w:val="20"/>
                <w:szCs w:val="20"/>
              </w:rPr>
              <w:t>宫颈癌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BCE7B6"/>
            <w:noWrap/>
            <w:vAlign w:val="center"/>
          </w:tcPr>
          <w:p>
            <w:pPr>
              <w:spacing w:before="78" w:beforeLines="25" w:after="78" w:afterLines="25"/>
              <w:jc w:val="center"/>
              <w:rPr>
                <w:rFonts w:hAnsi="等线"/>
                <w:b w:val="0"/>
                <w:bCs w:val="0"/>
                <w:color w:val="000000"/>
                <w:sz w:val="20"/>
                <w:szCs w:val="20"/>
              </w:rPr>
            </w:pPr>
            <w:r>
              <w:rPr>
                <w:rFonts w:hAnsi="等线"/>
                <w:b w:val="0"/>
                <w:bCs w:val="0"/>
                <w:color w:val="000000"/>
                <w:sz w:val="20"/>
                <w:szCs w:val="20"/>
              </w:rPr>
              <w:t>Pucotenlimab</w:t>
            </w:r>
          </w:p>
          <w:p>
            <w:pPr>
              <w:spacing w:before="78" w:beforeLines="25" w:after="78" w:afterLines="25"/>
              <w:jc w:val="center"/>
              <w:rPr>
                <w:rFonts w:hAnsi="等线"/>
                <w:b w:val="0"/>
                <w:bCs w:val="0"/>
                <w:color w:val="000000"/>
                <w:sz w:val="20"/>
                <w:szCs w:val="20"/>
              </w:rPr>
            </w:pPr>
            <w:r>
              <w:rPr>
                <w:rFonts w:hAnsi="等线"/>
                <w:b w:val="0"/>
                <w:bCs w:val="0"/>
                <w:color w:val="000000"/>
                <w:sz w:val="20"/>
                <w:szCs w:val="20"/>
              </w:rPr>
              <w:t>普特利单抗</w:t>
            </w:r>
          </w:p>
        </w:tc>
        <w:tc>
          <w:tcPr>
            <w:tcW w:w="1429" w:type="dxa"/>
            <w:tcBorders>
              <w:tl2br w:val="nil"/>
              <w:tr2bl w:val="nil"/>
            </w:tcBorders>
            <w:shd w:val="clear" w:color="auto" w:fill="BCE7B6"/>
            <w:vAlign w:val="center"/>
          </w:tcPr>
          <w:p>
            <w:pPr>
              <w:jc w:val="center"/>
              <w:rPr>
                <w:rFonts w:hAnsi="等线"/>
                <w:color w:val="000000"/>
                <w:sz w:val="20"/>
                <w:szCs w:val="20"/>
              </w:rPr>
            </w:pPr>
            <w:r>
              <w:rPr>
                <w:rFonts w:hint="eastAsia" w:hAnsi="等线"/>
                <w:sz w:val="20"/>
                <w:szCs w:val="20"/>
              </w:rPr>
              <w:t>普佑恒</w:t>
            </w:r>
          </w:p>
        </w:tc>
        <w:tc>
          <w:tcPr>
            <w:tcW w:w="1520" w:type="dxa"/>
            <w:tcBorders>
              <w:tl2br w:val="nil"/>
              <w:tr2bl w:val="nil"/>
            </w:tcBorders>
            <w:shd w:val="clear" w:color="auto" w:fill="BCE7B6"/>
            <w:vAlign w:val="center"/>
          </w:tcPr>
          <w:p>
            <w:pPr>
              <w:jc w:val="center"/>
              <w:rPr>
                <w:rFonts w:hAnsi="等线"/>
                <w:color w:val="000000"/>
                <w:sz w:val="20"/>
                <w:szCs w:val="20"/>
              </w:rPr>
            </w:pPr>
            <w:r>
              <w:rPr>
                <w:rFonts w:hint="eastAsia"/>
              </w:rPr>
              <w:t>是</w:t>
            </w:r>
          </w:p>
        </w:tc>
        <w:tc>
          <w:tcPr>
            <w:tcW w:w="5006" w:type="dxa"/>
            <w:tcBorders>
              <w:tl2br w:val="nil"/>
              <w:tr2bl w:val="nil"/>
            </w:tcBorders>
            <w:shd w:val="clear" w:color="auto" w:fill="BCE7B6"/>
            <w:noWrap/>
            <w:vAlign w:val="center"/>
          </w:tcPr>
          <w:p>
            <w:pPr>
              <w:jc w:val="center"/>
              <w:rPr>
                <w:rFonts w:hAnsi="等线" w:eastAsia="宋体"/>
                <w:color w:val="000000"/>
                <w:sz w:val="20"/>
                <w:szCs w:val="20"/>
              </w:rPr>
            </w:pPr>
            <w:r>
              <w:rPr>
                <w:rFonts w:hint="eastAsia" w:hAnsi="等线"/>
                <w:color w:val="000000"/>
                <w:sz w:val="20"/>
                <w:szCs w:val="20"/>
              </w:rPr>
              <w:t>MSI-H/dMMR型实体瘤</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F8F8F8"/>
            <w:noWrap/>
            <w:vAlign w:val="center"/>
          </w:tcPr>
          <w:p>
            <w:pPr>
              <w:jc w:val="center"/>
              <w:rPr>
                <w:rFonts w:hAnsi="等线"/>
                <w:b w:val="0"/>
                <w:bCs w:val="0"/>
                <w:color w:val="000000"/>
                <w:sz w:val="20"/>
                <w:szCs w:val="20"/>
              </w:rPr>
            </w:pPr>
            <w:r>
              <w:rPr>
                <w:rFonts w:hint="eastAsia" w:hAnsi="等线"/>
                <w:b w:val="0"/>
                <w:bCs w:val="0"/>
                <w:color w:val="000000"/>
                <w:sz w:val="20"/>
                <w:szCs w:val="20"/>
              </w:rPr>
              <w:t>Adebrelimab</w:t>
            </w:r>
          </w:p>
          <w:p>
            <w:pPr>
              <w:jc w:val="center"/>
              <w:rPr>
                <w:rFonts w:hAnsi="等线"/>
                <w:b w:val="0"/>
                <w:bCs w:val="0"/>
                <w:color w:val="000000"/>
                <w:sz w:val="20"/>
                <w:szCs w:val="20"/>
              </w:rPr>
            </w:pPr>
            <w:r>
              <w:rPr>
                <w:rFonts w:hint="eastAsia" w:hAnsi="等线"/>
                <w:b w:val="0"/>
                <w:bCs w:val="0"/>
                <w:color w:val="000000"/>
                <w:sz w:val="20"/>
                <w:szCs w:val="20"/>
              </w:rPr>
              <w:t>阿得贝利单抗</w:t>
            </w:r>
          </w:p>
        </w:tc>
        <w:tc>
          <w:tcPr>
            <w:tcW w:w="1429" w:type="dxa"/>
            <w:tcBorders>
              <w:tl2br w:val="nil"/>
              <w:tr2bl w:val="nil"/>
            </w:tcBorders>
            <w:shd w:val="clear" w:color="auto" w:fill="F8F8F8"/>
            <w:vAlign w:val="center"/>
          </w:tcPr>
          <w:p>
            <w:pPr>
              <w:jc w:val="center"/>
              <w:rPr>
                <w:rFonts w:hAnsi="等线"/>
                <w:color w:val="0000FF"/>
                <w:sz w:val="20"/>
                <w:szCs w:val="20"/>
              </w:rPr>
            </w:pPr>
            <w:r>
              <w:rPr>
                <w:rFonts w:hint="eastAsia" w:hAnsi="等线"/>
                <w:color w:val="000000"/>
                <w:sz w:val="20"/>
                <w:szCs w:val="20"/>
              </w:rPr>
              <w:t>艾瑞利</w:t>
            </w:r>
          </w:p>
        </w:tc>
        <w:tc>
          <w:tcPr>
            <w:tcW w:w="1520" w:type="dxa"/>
            <w:tcBorders>
              <w:tl2br w:val="nil"/>
              <w:tr2bl w:val="nil"/>
            </w:tcBorders>
            <w:shd w:val="clear" w:color="auto" w:fill="F8F8F8"/>
            <w:vAlign w:val="center"/>
          </w:tcPr>
          <w:p>
            <w:pPr>
              <w:spacing w:before="78" w:beforeLines="25" w:after="78" w:afterLines="25"/>
              <w:jc w:val="center"/>
              <w:rPr>
                <w:rFonts w:hAnsi="等线"/>
                <w:color w:val="0000FF"/>
                <w:sz w:val="20"/>
                <w:szCs w:val="20"/>
              </w:rPr>
            </w:pPr>
            <w:r>
              <w:rPr>
                <w:rFonts w:hint="eastAsia"/>
              </w:rPr>
              <w:t>是</w:t>
            </w:r>
          </w:p>
        </w:tc>
        <w:tc>
          <w:tcPr>
            <w:tcW w:w="5006" w:type="dxa"/>
            <w:tcBorders>
              <w:tl2br w:val="nil"/>
              <w:tr2bl w:val="nil"/>
            </w:tcBorders>
            <w:shd w:val="clear" w:color="auto" w:fill="F8F8F8"/>
            <w:noWrap/>
            <w:vAlign w:val="center"/>
          </w:tcPr>
          <w:p>
            <w:pPr>
              <w:jc w:val="center"/>
              <w:rPr>
                <w:rFonts w:hAnsi="等线"/>
                <w:color w:val="000000"/>
                <w:sz w:val="20"/>
                <w:szCs w:val="20"/>
              </w:rPr>
            </w:pPr>
            <w:r>
              <w:rPr>
                <w:rFonts w:hint="eastAsia" w:hAnsi="等线"/>
                <w:color w:val="000000"/>
                <w:sz w:val="20"/>
                <w:szCs w:val="20"/>
              </w:rPr>
              <w:t>小细胞肺癌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BCE7B6"/>
            <w:noWrap/>
            <w:vAlign w:val="center"/>
          </w:tcPr>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Avelumab</w:t>
            </w:r>
          </w:p>
          <w:p>
            <w:pPr>
              <w:spacing w:before="78" w:beforeLines="25" w:after="78" w:afterLines="25"/>
              <w:jc w:val="center"/>
              <w:rPr>
                <w:rFonts w:hAnsi="等线"/>
                <w:b w:val="0"/>
                <w:bCs w:val="0"/>
                <w:color w:val="000000"/>
                <w:sz w:val="20"/>
                <w:szCs w:val="20"/>
              </w:rPr>
            </w:pPr>
            <w:r>
              <w:rPr>
                <w:rFonts w:hAnsi="等线"/>
                <w:b w:val="0"/>
                <w:bCs w:val="0"/>
                <w:color w:val="000000"/>
                <w:sz w:val="20"/>
                <w:szCs w:val="20"/>
              </w:rPr>
              <w:t>阿维鲁单抗</w:t>
            </w:r>
          </w:p>
        </w:tc>
        <w:tc>
          <w:tcPr>
            <w:tcW w:w="1429"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hAnsi="等线"/>
                <w:color w:val="000000"/>
                <w:sz w:val="20"/>
                <w:szCs w:val="20"/>
              </w:rPr>
              <w:t>Bavencio</w:t>
            </w:r>
          </w:p>
        </w:tc>
        <w:tc>
          <w:tcPr>
            <w:tcW w:w="1520" w:type="dxa"/>
            <w:tcBorders>
              <w:tl2br w:val="nil"/>
              <w:tr2bl w:val="nil"/>
            </w:tcBorders>
            <w:shd w:val="clear" w:color="auto" w:fill="BCE7B6"/>
            <w:vAlign w:val="center"/>
          </w:tcPr>
          <w:p>
            <w:pPr>
              <w:spacing w:before="78" w:beforeLines="25" w:after="78" w:afterLines="25"/>
              <w:jc w:val="center"/>
              <w:rPr>
                <w:rFonts w:hint="eastAsia" w:hAnsi="等线" w:eastAsia="等线"/>
                <w:color w:val="000000"/>
                <w:sz w:val="20"/>
                <w:szCs w:val="20"/>
                <w:lang w:eastAsia="zh-CN"/>
              </w:rPr>
            </w:pPr>
            <w:r>
              <w:rPr>
                <w:rFonts w:hint="eastAsia"/>
              </w:rPr>
              <w:t>否</w:t>
            </w:r>
          </w:p>
        </w:tc>
        <w:tc>
          <w:tcPr>
            <w:tcW w:w="5006" w:type="dxa"/>
            <w:tcBorders>
              <w:tl2br w:val="nil"/>
              <w:tr2bl w:val="nil"/>
            </w:tcBorders>
            <w:shd w:val="clear" w:color="auto" w:fill="BCE7B6"/>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默克细胞癌，尿路上皮癌，肾细胞癌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F8F8F8"/>
            <w:noWrap/>
            <w:vAlign w:val="center"/>
          </w:tcPr>
          <w:p>
            <w:pPr>
              <w:spacing w:before="78" w:beforeLines="25" w:after="78" w:afterLines="25"/>
              <w:jc w:val="center"/>
              <w:rPr>
                <w:rFonts w:hAnsi="等线"/>
                <w:b w:val="0"/>
                <w:bCs w:val="0"/>
                <w:color w:val="000000"/>
                <w:sz w:val="20"/>
                <w:szCs w:val="20"/>
              </w:rPr>
            </w:pPr>
            <w:r>
              <w:rPr>
                <w:rFonts w:hAnsi="等线"/>
                <w:b w:val="0"/>
                <w:bCs w:val="0"/>
                <w:color w:val="000000"/>
                <w:sz w:val="20"/>
                <w:szCs w:val="20"/>
              </w:rPr>
              <w:t>C</w:t>
            </w:r>
            <w:r>
              <w:rPr>
                <w:rFonts w:hint="eastAsia" w:hAnsi="等线"/>
                <w:b w:val="0"/>
                <w:bCs w:val="0"/>
                <w:color w:val="000000"/>
                <w:sz w:val="20"/>
                <w:szCs w:val="20"/>
              </w:rPr>
              <w:t>emiplimab</w:t>
            </w:r>
          </w:p>
          <w:p>
            <w:pPr>
              <w:spacing w:before="78" w:beforeLines="25" w:after="78" w:afterLines="25"/>
              <w:jc w:val="center"/>
              <w:rPr>
                <w:rFonts w:hAnsi="等线"/>
                <w:b w:val="0"/>
                <w:bCs w:val="0"/>
                <w:color w:val="000000"/>
                <w:sz w:val="20"/>
                <w:szCs w:val="20"/>
              </w:rPr>
            </w:pPr>
            <w:r>
              <w:rPr>
                <w:rFonts w:hAnsi="等线"/>
                <w:b w:val="0"/>
                <w:bCs w:val="0"/>
                <w:color w:val="000000"/>
                <w:sz w:val="20"/>
                <w:szCs w:val="20"/>
              </w:rPr>
              <w:t>塞米普利单抗</w:t>
            </w:r>
          </w:p>
        </w:tc>
        <w:tc>
          <w:tcPr>
            <w:tcW w:w="1429"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hAnsi="等线"/>
                <w:color w:val="000000"/>
                <w:sz w:val="20"/>
                <w:szCs w:val="20"/>
              </w:rPr>
              <w:t>Libtayo</w:t>
            </w:r>
          </w:p>
        </w:tc>
        <w:tc>
          <w:tcPr>
            <w:tcW w:w="1520" w:type="dxa"/>
            <w:tcBorders>
              <w:tl2br w:val="nil"/>
              <w:tr2bl w:val="nil"/>
            </w:tcBorders>
            <w:shd w:val="clear" w:color="auto" w:fill="F8F8F8"/>
            <w:vAlign w:val="center"/>
          </w:tcPr>
          <w:p>
            <w:pPr>
              <w:spacing w:before="78" w:beforeLines="25" w:after="78" w:afterLines="25"/>
              <w:ind w:left="-105" w:leftChars="-50" w:right="-105" w:rightChars="-50"/>
              <w:jc w:val="center"/>
              <w:rPr>
                <w:rFonts w:hAnsi="等线"/>
                <w:color w:val="000000"/>
                <w:sz w:val="20"/>
                <w:szCs w:val="20"/>
              </w:rPr>
            </w:pPr>
            <w:r>
              <w:rPr>
                <w:rFonts w:hint="eastAsia"/>
              </w:rPr>
              <w:t>否</w:t>
            </w:r>
          </w:p>
        </w:tc>
        <w:tc>
          <w:tcPr>
            <w:tcW w:w="5006" w:type="dxa"/>
            <w:tcBorders>
              <w:tl2br w:val="nil"/>
              <w:tr2bl w:val="nil"/>
            </w:tcBorders>
            <w:shd w:val="clear" w:color="auto" w:fill="F8F8F8"/>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皮肤鳞状细胞癌，基底细胞癌，非小细胞肺癌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BCE7B6"/>
            <w:noWrap/>
            <w:vAlign w:val="center"/>
          </w:tcPr>
          <w:p>
            <w:pPr>
              <w:spacing w:before="78" w:beforeLines="25" w:after="78" w:afterLines="25"/>
              <w:jc w:val="center"/>
              <w:rPr>
                <w:rFonts w:hAnsi="等线"/>
                <w:b w:val="0"/>
                <w:bCs w:val="0"/>
                <w:color w:val="000000"/>
                <w:sz w:val="20"/>
                <w:szCs w:val="20"/>
              </w:rPr>
            </w:pPr>
            <w:r>
              <w:rPr>
                <w:rFonts w:hAnsi="等线"/>
                <w:b w:val="0"/>
                <w:bCs w:val="0"/>
                <w:color w:val="000000"/>
                <w:sz w:val="20"/>
                <w:szCs w:val="20"/>
              </w:rPr>
              <w:t>D</w:t>
            </w:r>
            <w:r>
              <w:rPr>
                <w:rFonts w:hint="eastAsia" w:hAnsi="等线"/>
                <w:b w:val="0"/>
                <w:bCs w:val="0"/>
                <w:color w:val="000000"/>
                <w:sz w:val="20"/>
                <w:szCs w:val="20"/>
              </w:rPr>
              <w:t>ostarlimab</w:t>
            </w:r>
          </w:p>
          <w:p>
            <w:pPr>
              <w:spacing w:before="78" w:beforeLines="25" w:after="78" w:afterLines="25"/>
              <w:jc w:val="center"/>
              <w:rPr>
                <w:rFonts w:hAnsi="等线"/>
                <w:b w:val="0"/>
                <w:bCs w:val="0"/>
                <w:color w:val="000000"/>
                <w:sz w:val="20"/>
                <w:szCs w:val="20"/>
              </w:rPr>
            </w:pPr>
            <w:r>
              <w:rPr>
                <w:rFonts w:hAnsi="等线"/>
                <w:b w:val="0"/>
                <w:bCs w:val="0"/>
                <w:color w:val="000000"/>
                <w:sz w:val="20"/>
                <w:szCs w:val="20"/>
              </w:rPr>
              <w:t>多塔利单抗</w:t>
            </w:r>
          </w:p>
        </w:tc>
        <w:tc>
          <w:tcPr>
            <w:tcW w:w="1429"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hAnsi="等线"/>
                <w:color w:val="000000"/>
                <w:sz w:val="20"/>
                <w:szCs w:val="20"/>
              </w:rPr>
              <w:t>J</w:t>
            </w:r>
            <w:r>
              <w:rPr>
                <w:rFonts w:hAnsi="等线"/>
                <w:color w:val="000000"/>
                <w:sz w:val="20"/>
                <w:szCs w:val="20"/>
              </w:rPr>
              <w:t>emperli</w:t>
            </w:r>
          </w:p>
        </w:tc>
        <w:tc>
          <w:tcPr>
            <w:tcW w:w="1520"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rPr>
              <w:t>否</w:t>
            </w:r>
          </w:p>
        </w:tc>
        <w:tc>
          <w:tcPr>
            <w:tcW w:w="5006" w:type="dxa"/>
            <w:tcBorders>
              <w:tl2br w:val="nil"/>
              <w:tr2bl w:val="nil"/>
            </w:tcBorders>
            <w:shd w:val="clear" w:color="auto" w:fill="BCE7B6"/>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dMMR型子宫内膜癌，dMMR型实体瘤</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F8F8F8"/>
            <w:noWrap/>
            <w:vAlign w:val="center"/>
          </w:tcPr>
          <w:p>
            <w:pPr>
              <w:spacing w:before="78" w:beforeLines="25" w:after="78" w:afterLines="25"/>
              <w:jc w:val="center"/>
              <w:rPr>
                <w:rFonts w:hint="eastAsia" w:hAnsi="等线" w:eastAsia="等线"/>
                <w:b w:val="0"/>
                <w:bCs w:val="0"/>
                <w:color w:val="000000"/>
                <w:sz w:val="20"/>
                <w:szCs w:val="20"/>
                <w:lang w:val="en-US" w:eastAsia="zh-CN"/>
              </w:rPr>
            </w:pPr>
            <w:r>
              <w:rPr>
                <w:rFonts w:hint="eastAsia" w:hAnsi="等线"/>
                <w:b w:val="0"/>
                <w:bCs w:val="0"/>
                <w:color w:val="000000"/>
                <w:sz w:val="20"/>
                <w:szCs w:val="20"/>
              </w:rPr>
              <w:t>Nivolumab/</w:t>
            </w:r>
            <w:r>
              <w:rPr>
                <w:rFonts w:hint="eastAsia" w:hAnsi="等线"/>
                <w:b w:val="0"/>
                <w:bCs w:val="0"/>
                <w:color w:val="000000"/>
                <w:sz w:val="20"/>
                <w:szCs w:val="20"/>
              </w:rPr>
              <w:br w:type="textWrapping"/>
            </w:r>
            <w:r>
              <w:rPr>
                <w:rFonts w:hint="eastAsia" w:hAnsi="等线"/>
                <w:b w:val="0"/>
                <w:bCs w:val="0"/>
                <w:color w:val="000000"/>
                <w:sz w:val="20"/>
                <w:szCs w:val="20"/>
              </w:rPr>
              <w:t>Relatlimab</w:t>
            </w:r>
          </w:p>
        </w:tc>
        <w:tc>
          <w:tcPr>
            <w:tcW w:w="1429" w:type="dxa"/>
            <w:tcBorders>
              <w:tl2br w:val="nil"/>
              <w:tr2bl w:val="nil"/>
            </w:tcBorders>
            <w:shd w:val="clear" w:color="auto" w:fill="F8F8F8"/>
            <w:vAlign w:val="center"/>
          </w:tcPr>
          <w:p>
            <w:pPr>
              <w:spacing w:before="78" w:beforeLines="25" w:after="78" w:afterLines="25"/>
              <w:jc w:val="center"/>
              <w:rPr>
                <w:rFonts w:hint="eastAsia" w:hAnsi="等线"/>
                <w:color w:val="000000"/>
                <w:sz w:val="20"/>
                <w:szCs w:val="20"/>
              </w:rPr>
            </w:pPr>
            <w:r>
              <w:rPr>
                <w:rFonts w:hint="eastAsia" w:hAnsi="等线"/>
                <w:color w:val="000000"/>
                <w:sz w:val="20"/>
                <w:szCs w:val="20"/>
              </w:rPr>
              <w:t>O</w:t>
            </w:r>
            <w:r>
              <w:rPr>
                <w:rFonts w:hint="eastAsia" w:hAnsi="等线"/>
                <w:color w:val="000000"/>
                <w:sz w:val="20"/>
                <w:szCs w:val="20"/>
                <w:lang w:val="en-US" w:eastAsia="zh-CN"/>
              </w:rPr>
              <w:t>pdualag</w:t>
            </w:r>
          </w:p>
        </w:tc>
        <w:tc>
          <w:tcPr>
            <w:tcW w:w="1520" w:type="dxa"/>
            <w:tcBorders>
              <w:tl2br w:val="nil"/>
              <w:tr2bl w:val="nil"/>
            </w:tcBorders>
            <w:shd w:val="clear" w:color="auto" w:fill="F8F8F8"/>
            <w:vAlign w:val="center"/>
          </w:tcPr>
          <w:p>
            <w:pPr>
              <w:spacing w:before="78" w:beforeLines="25" w:after="78" w:afterLines="25"/>
              <w:jc w:val="center"/>
              <w:rPr>
                <w:rFonts w:hint="eastAsia" w:hAnsi="等线"/>
                <w:color w:val="000000"/>
                <w:sz w:val="20"/>
                <w:szCs w:val="20"/>
              </w:rPr>
            </w:pPr>
            <w:r>
              <w:rPr>
                <w:rFonts w:hint="eastAsia"/>
              </w:rPr>
              <w:t>否</w:t>
            </w:r>
          </w:p>
        </w:tc>
        <w:tc>
          <w:tcPr>
            <w:tcW w:w="5006" w:type="dxa"/>
            <w:tcBorders>
              <w:tl2br w:val="nil"/>
              <w:tr2bl w:val="nil"/>
            </w:tcBorders>
            <w:shd w:val="clear" w:color="auto" w:fill="F8F8F8"/>
            <w:noWrap/>
            <w:vAlign w:val="center"/>
          </w:tcPr>
          <w:p>
            <w:pPr>
              <w:spacing w:before="78" w:beforeLines="25" w:after="78" w:afterLines="25"/>
              <w:jc w:val="center"/>
              <w:rPr>
                <w:rFonts w:hint="eastAsia" w:hAnsi="等线"/>
                <w:color w:val="000000"/>
                <w:sz w:val="20"/>
                <w:szCs w:val="20"/>
              </w:rPr>
            </w:pPr>
            <w:r>
              <w:rPr>
                <w:rFonts w:hint="eastAsia" w:hAnsi="等线"/>
                <w:color w:val="000000"/>
                <w:sz w:val="20"/>
                <w:szCs w:val="20"/>
              </w:rPr>
              <w:t>黑色素瘤</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BCE7B6"/>
            <w:noWrap/>
            <w:vAlign w:val="center"/>
          </w:tcPr>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Tremelimumab</w:t>
            </w:r>
          </w:p>
        </w:tc>
        <w:tc>
          <w:tcPr>
            <w:tcW w:w="1429" w:type="dxa"/>
            <w:tcBorders>
              <w:tl2br w:val="nil"/>
              <w:tr2bl w:val="nil"/>
            </w:tcBorders>
            <w:shd w:val="clear" w:color="auto" w:fill="BCE7B6"/>
            <w:vAlign w:val="center"/>
          </w:tcPr>
          <w:p>
            <w:pPr>
              <w:spacing w:before="78" w:beforeLines="25" w:after="78" w:afterLines="25"/>
              <w:jc w:val="center"/>
              <w:rPr>
                <w:rFonts w:hint="default" w:hAnsi="等线" w:eastAsia="等线"/>
                <w:color w:val="000000"/>
                <w:sz w:val="20"/>
                <w:szCs w:val="20"/>
                <w:lang w:val="en-US" w:eastAsia="zh-CN"/>
              </w:rPr>
            </w:pPr>
            <w:r>
              <w:rPr>
                <w:rFonts w:hint="eastAsia" w:hAnsi="等线"/>
                <w:color w:val="000000"/>
                <w:sz w:val="20"/>
                <w:szCs w:val="20"/>
                <w:lang w:val="en-US" w:eastAsia="zh-CN"/>
              </w:rPr>
              <w:t>Imjudo</w:t>
            </w:r>
          </w:p>
        </w:tc>
        <w:tc>
          <w:tcPr>
            <w:tcW w:w="1520" w:type="dxa"/>
            <w:tcBorders>
              <w:tl2br w:val="nil"/>
              <w:tr2bl w:val="nil"/>
            </w:tcBorders>
            <w:shd w:val="clear" w:color="auto" w:fill="BCE7B6"/>
            <w:vAlign w:val="center"/>
          </w:tcPr>
          <w:p>
            <w:pPr>
              <w:spacing w:before="78" w:beforeLines="25" w:after="78" w:afterLines="25"/>
              <w:jc w:val="center"/>
              <w:rPr>
                <w:rFonts w:hint="eastAsia" w:hAnsi="等线"/>
                <w:color w:val="000000"/>
                <w:sz w:val="20"/>
                <w:szCs w:val="20"/>
              </w:rPr>
            </w:pPr>
            <w:r>
              <w:rPr>
                <w:rFonts w:hint="eastAsia"/>
              </w:rPr>
              <w:t>否</w:t>
            </w:r>
          </w:p>
        </w:tc>
        <w:tc>
          <w:tcPr>
            <w:tcW w:w="5006" w:type="dxa"/>
            <w:tcBorders>
              <w:tl2br w:val="nil"/>
              <w:tr2bl w:val="nil"/>
            </w:tcBorders>
            <w:shd w:val="clear" w:color="auto" w:fill="BCE7B6"/>
            <w:noWrap/>
            <w:vAlign w:val="center"/>
          </w:tcPr>
          <w:p>
            <w:pPr>
              <w:spacing w:before="78" w:beforeLines="25" w:after="78" w:afterLines="25"/>
              <w:jc w:val="center"/>
              <w:rPr>
                <w:rFonts w:hint="eastAsia" w:hAnsi="等线"/>
                <w:color w:val="000000"/>
                <w:sz w:val="20"/>
                <w:szCs w:val="20"/>
              </w:rPr>
            </w:pPr>
            <w:r>
              <w:rPr>
                <w:rFonts w:hint="eastAsia" w:hAnsi="等线"/>
                <w:color w:val="000000"/>
                <w:sz w:val="20"/>
                <w:szCs w:val="20"/>
              </w:rPr>
              <w:t>肝细胞癌</w:t>
            </w:r>
          </w:p>
        </w:tc>
      </w:tr>
    </w:tbl>
    <w:p>
      <w:pPr>
        <w:rPr>
          <w:rFonts w:hAnsi="等线"/>
          <w:szCs w:val="21"/>
        </w:rPr>
      </w:pPr>
      <w:r>
        <w:rPr>
          <w:rFonts w:hAnsi="等线"/>
          <w:szCs w:val="21"/>
        </w:rPr>
        <w:br w:type="page"/>
      </w:r>
    </w:p>
    <w:p>
      <w:pPr>
        <w:rPr>
          <w:rFonts w:hAnsi="等线"/>
          <w:szCs w:val="21"/>
        </w:rPr>
      </w:pPr>
      <w:r>
        <mc:AlternateContent>
          <mc:Choice Requires="wps">
            <w:drawing>
              <wp:anchor distT="0" distB="0" distL="114300" distR="114300" simplePos="0" relativeHeight="251688960" behindDoc="0" locked="0" layoutInCell="1" allowOverlap="1">
                <wp:simplePos x="0" y="0"/>
                <wp:positionH relativeFrom="column">
                  <wp:posOffset>1196975</wp:posOffset>
                </wp:positionH>
                <wp:positionV relativeFrom="paragraph">
                  <wp:posOffset>-73025</wp:posOffset>
                </wp:positionV>
                <wp:extent cx="3909695" cy="636905"/>
                <wp:effectExtent l="0" t="0" r="0" b="0"/>
                <wp:wrapNone/>
                <wp:docPr id="1030" name="文本框 86"/>
                <wp:cNvGraphicFramePr/>
                <a:graphic xmlns:a="http://schemas.openxmlformats.org/drawingml/2006/main">
                  <a:graphicData uri="http://schemas.microsoft.com/office/word/2010/wordprocessingShape">
                    <wps:wsp>
                      <wps:cNvSpPr txBox="1"/>
                      <wps:spPr>
                        <a:xfrm>
                          <a:off x="0" y="0"/>
                          <a:ext cx="3909695" cy="6369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pacing w:before="340" w:line="360" w:lineRule="auto"/>
                              <w:jc w:val="center"/>
                              <w:outlineLvl w:val="1"/>
                              <w:rPr>
                                <w:rFonts w:hint="default" w:hAnsi="等线" w:eastAsia="等线" w:cs="Arial"/>
                                <w:b/>
                                <w:bCs/>
                                <w:color w:val="F18E2D"/>
                                <w:sz w:val="32"/>
                                <w:szCs w:val="32"/>
                                <w:lang w:val="en-US" w:eastAsia="zh-CN"/>
                              </w:rPr>
                            </w:pPr>
                            <w:r>
                              <w:rPr>
                                <w:rFonts w:hint="eastAsia" w:hAnsi="等线" w:cs="Arial"/>
                                <w:b/>
                                <w:bCs/>
                                <w:color w:val="F18E2D"/>
                                <w:sz w:val="32"/>
                                <w:szCs w:val="32"/>
                              </w:rPr>
                              <w:t>化疗用药</w:t>
                            </w:r>
                            <w:r>
                              <w:rPr>
                                <w:rFonts w:hint="eastAsia" w:hAnsi="等线" w:cs="Arial"/>
                                <w:b/>
                                <w:bCs/>
                                <w:color w:val="F18E2D"/>
                                <w:sz w:val="32"/>
                                <w:szCs w:val="32"/>
                                <w:lang w:val="en-US" w:eastAsia="zh-CN"/>
                              </w:rPr>
                              <w:t>多态性位点检测结果及临床意义</w:t>
                            </w:r>
                          </w:p>
                          <w:p>
                            <w:pPr>
                              <w:spacing w:before="340" w:line="360" w:lineRule="auto"/>
                              <w:jc w:val="left"/>
                              <w:outlineLvl w:val="1"/>
                              <w:rPr>
                                <w:rFonts w:hAnsi="等线" w:cs="Arial"/>
                                <w:b/>
                                <w:bCs/>
                                <w:color w:val="00B0F0"/>
                                <w:sz w:val="28"/>
                                <w:szCs w:val="28"/>
                              </w:rPr>
                            </w:pPr>
                            <w:r>
                              <w:rPr>
                                <w:rFonts w:hint="eastAsia" w:hAnsi="等线" w:cs="Arial"/>
                                <w:b/>
                                <w:bCs/>
                                <w:color w:val="00B0F0"/>
                                <w:sz w:val="28"/>
                                <w:szCs w:val="28"/>
                              </w:rPr>
                              <w:t>疫治疗相关Biomarker检测结果及临床意义</w:t>
                            </w:r>
                          </w:p>
                          <w:p>
                            <w:pPr>
                              <w:rPr>
                                <w:color w:val="000000" w:themeColor="text1"/>
                                <w14:textFill>
                                  <w14:solidFill>
                                    <w14:schemeClr w14:val="tx1"/>
                                  </w14:solidFill>
                                </w14:textFill>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94.25pt;margin-top:-5.75pt;height:50.15pt;width:307.85pt;z-index:251688960;mso-width-relative:page;mso-height-relative:page;" filled="f" stroked="f" coordsize="21600,21600" o:gfxdata="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&#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cHnfrdkAAAAKAQAADwAAAAAAAAABACAAAAAiAAAAZHJz&#10;L2Rvd25yZXYueG1sUEsBAhQAFAAAAAgAh07iQMq+3Y48AgAAaAQAAA4AAAAAAAAAAQAgAAAAKAEA&#10;AGRycy9lMm9Eb2MueG1sUEsFBgAAAAAGAAYAWQEAANYFAAAAAA==&#10;">
                <v:fill on="f" focussize="0,0"/>
                <v:stroke on="f" weight="0.5pt"/>
                <v:imagedata o:title=""/>
                <o:lock v:ext="edit" aspectratio="f"/>
                <v:textbox>
                  <w:txbxContent>
                    <w:p>
                      <w:pPr>
                        <w:spacing w:before="340" w:line="360" w:lineRule="auto"/>
                        <w:jc w:val="center"/>
                        <w:outlineLvl w:val="1"/>
                        <w:rPr>
                          <w:rFonts w:hint="default" w:hAnsi="等线" w:eastAsia="等线" w:cs="Arial"/>
                          <w:b/>
                          <w:bCs/>
                          <w:color w:val="F18E2D"/>
                          <w:sz w:val="32"/>
                          <w:szCs w:val="32"/>
                          <w:lang w:val="en-US" w:eastAsia="zh-CN"/>
                        </w:rPr>
                      </w:pPr>
                      <w:r>
                        <w:rPr>
                          <w:rFonts w:hint="eastAsia" w:hAnsi="等线" w:cs="Arial"/>
                          <w:b/>
                          <w:bCs/>
                          <w:color w:val="F18E2D"/>
                          <w:sz w:val="32"/>
                          <w:szCs w:val="32"/>
                        </w:rPr>
                        <w:t>化疗用药</w:t>
                      </w:r>
                      <w:r>
                        <w:rPr>
                          <w:rFonts w:hint="eastAsia" w:hAnsi="等线" w:cs="Arial"/>
                          <w:b/>
                          <w:bCs/>
                          <w:color w:val="F18E2D"/>
                          <w:sz w:val="32"/>
                          <w:szCs w:val="32"/>
                          <w:lang w:val="en-US" w:eastAsia="zh-CN"/>
                        </w:rPr>
                        <w:t>多态性位点检测结果及临床意义</w:t>
                      </w:r>
                    </w:p>
                    <w:p>
                      <w:pPr>
                        <w:spacing w:before="340" w:line="360" w:lineRule="auto"/>
                        <w:jc w:val="left"/>
                        <w:outlineLvl w:val="1"/>
                        <w:rPr>
                          <w:rFonts w:hAnsi="等线" w:cs="Arial"/>
                          <w:b/>
                          <w:bCs/>
                          <w:color w:val="00B0F0"/>
                          <w:sz w:val="28"/>
                          <w:szCs w:val="28"/>
                        </w:rPr>
                      </w:pPr>
                      <w:r>
                        <w:rPr>
                          <w:rFonts w:hint="eastAsia" w:hAnsi="等线" w:cs="Arial"/>
                          <w:b/>
                          <w:bCs/>
                          <w:color w:val="00B0F0"/>
                          <w:sz w:val="28"/>
                          <w:szCs w:val="28"/>
                        </w:rPr>
                        <w:t>疫治疗相关Biomarker检测结果及临床意义</w:t>
                      </w:r>
                    </w:p>
                    <w:p>
                      <w:pPr>
                        <w:rPr>
                          <w:color w:val="000000" w:themeColor="text1"/>
                          <w14:textFill>
                            <w14:solidFill>
                              <w14:schemeClr w14:val="tx1"/>
                            </w14:solidFill>
                          </w14:textFill>
                        </w:rPr>
                      </w:pPr>
                    </w:p>
                  </w:txbxContent>
                </v:textbox>
              </v:shape>
            </w:pict>
          </mc:Fallback>
        </mc:AlternateContent>
      </w:r>
    </w:p>
    <w:p>
      <w:pPr>
        <w:adjustRightInd w:val="0"/>
        <w:snapToGrid w:val="0"/>
        <w:jc w:val="left"/>
        <w:outlineLvl w:val="1"/>
        <w:rPr>
          <w:rFonts w:hAnsi="等线" w:cs="Arial"/>
          <w:b/>
          <w:bCs/>
          <w:color w:val="00B0F0"/>
          <w:szCs w:val="28"/>
        </w:rPr>
      </w:pPr>
      <w:bookmarkStart w:id="66" w:name="化疗用药基因变异解析"/>
      <w:bookmarkEnd w:id="66"/>
      <w:r>
        <mc:AlternateContent>
          <mc:Choice Requires="wpg">
            <w:drawing>
              <wp:anchor distT="0" distB="0" distL="114300" distR="114300" simplePos="0" relativeHeight="251689984" behindDoc="0" locked="0" layoutInCell="1" allowOverlap="1">
                <wp:simplePos x="0" y="0"/>
                <wp:positionH relativeFrom="column">
                  <wp:posOffset>5715</wp:posOffset>
                </wp:positionH>
                <wp:positionV relativeFrom="paragraph">
                  <wp:posOffset>-12065</wp:posOffset>
                </wp:positionV>
                <wp:extent cx="6294120" cy="388620"/>
                <wp:effectExtent l="0" t="10795" r="5080" b="19685"/>
                <wp:wrapNone/>
                <wp:docPr id="1031" name="组合 13"/>
                <wp:cNvGraphicFramePr/>
                <a:graphic xmlns:a="http://schemas.openxmlformats.org/drawingml/2006/main">
                  <a:graphicData uri="http://schemas.microsoft.com/office/word/2010/wordprocessingGroup">
                    <wpg:wgp>
                      <wpg:cNvGrpSpPr/>
                      <wpg:grpSpPr>
                        <a:xfrm>
                          <a:off x="0" y="0"/>
                          <a:ext cx="6294120" cy="388620"/>
                          <a:chOff x="2592" y="292680"/>
                          <a:chExt cx="9912" cy="612"/>
                        </a:xfrm>
                      </wpg:grpSpPr>
                      <wps:wsp>
                        <wps:cNvPr id="83" name="圆角矩形 57"/>
                        <wps:cNvSpPr/>
                        <wps:spPr>
                          <a:xfrm>
                            <a:off x="4368" y="292680"/>
                            <a:ext cx="6348" cy="612"/>
                          </a:xfrm>
                          <a:prstGeom prst="roundRect">
                            <a:avLst/>
                          </a:prstGeom>
                          <a:noFill/>
                          <a:ln w="22225">
                            <a:solidFill>
                              <a:srgbClr val="F18E2D"/>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84" name="直接连接符 60"/>
                        <wps:cNvCnPr/>
                        <wps:spPr>
                          <a:xfrm flipH="1">
                            <a:off x="2592" y="292986"/>
                            <a:ext cx="1776" cy="0"/>
                          </a:xfrm>
                          <a:prstGeom prst="line">
                            <a:avLst/>
                          </a:prstGeom>
                          <a:ln w="28575">
                            <a:solidFill>
                              <a:srgbClr val="F18E2D"/>
                            </a:solidFill>
                          </a:ln>
                        </wps:spPr>
                        <wps:style>
                          <a:lnRef idx="1">
                            <a:schemeClr val="accent1"/>
                          </a:lnRef>
                          <a:fillRef idx="0">
                            <a:schemeClr val="accent1"/>
                          </a:fillRef>
                          <a:effectRef idx="0">
                            <a:schemeClr val="accent1"/>
                          </a:effectRef>
                          <a:fontRef idx="minor">
                            <a:schemeClr val="tx1"/>
                          </a:fontRef>
                        </wps:style>
                        <wps:bodyPr/>
                      </wps:wsp>
                      <wps:wsp>
                        <wps:cNvPr id="85" name="直接连接符 61"/>
                        <wps:cNvCnPr/>
                        <wps:spPr>
                          <a:xfrm flipH="1">
                            <a:off x="10728" y="292962"/>
                            <a:ext cx="1776" cy="0"/>
                          </a:xfrm>
                          <a:prstGeom prst="line">
                            <a:avLst/>
                          </a:prstGeom>
                          <a:ln w="28575">
                            <a:solidFill>
                              <a:srgbClr val="F18E2D"/>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id="_x0000_s1026" o:spid="_x0000_s1026" o:spt="203" style="position:absolute;left:0pt;margin-left:0.45pt;margin-top:-0.95pt;height:30.6pt;width:495.6pt;z-index:251689984;mso-width-relative:page;mso-height-relative:page;" coordorigin="2592,292680" coordsize="9912,612" o:gfxdata="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">
                <o:lock v:ext="edit" aspectratio="f"/>
                <v:roundrect id="圆角矩形 57" o:spid="_x0000_s1026" o:spt="2" style="position:absolute;left:4368;top:292680;height:612;width:6348;v-text-anchor:middle;" filled="f" stroked="t" coordsize="21600,21600" arcsize="0.166666666666667" o:gfxdata="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gQoyL4A&#10;AADbAAAADwAAAAAAAAABACAAAAAiAAAAZHJzL2Rvd25yZXYueG1sUEsBAhQAFAAAAAgAh07iQDMv&#10;BZ47AAAAOQAAABAAAAAAAAAAAQAgAAAADQEAAGRycy9zaGFwZXhtbC54bWxQSwUGAAAAAAYABgBb&#10;AQAAtwMAAAAA&#10;">
                  <v:fill on="f" focussize="0,0"/>
                  <v:stroke weight="1.75pt" color="#F18E2D [3204]" miterlimit="8" joinstyle="miter"/>
                  <v:imagedata o:title=""/>
                  <o:lock v:ext="edit" aspectratio="f"/>
                </v:roundrect>
                <v:line id="直接连接符 60" o:spid="_x0000_s1026" o:spt="20" style="position:absolute;left:2592;top:292986;flip:x;height:0;width:1776;" filled="f" stroked="t" coordsize="21600,21600" o:gfxdata="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ZHrrPugAAANsA&#10;AAAPAAAAAAAAAAEAIAAAACIAAABkcnMvZG93bnJldi54bWxQSwECFAAUAAAACACHTuJAMy8FnjsA&#10;AAA5AAAAEAAAAAAAAAABACAAAAAJAQAAZHJzL3NoYXBleG1sLnhtbFBLBQYAAAAABgAGAFsBAACz&#10;AwAAAAA=&#10;">
                  <v:fill on="f" focussize="0,0"/>
                  <v:stroke weight="2.25pt" color="#F18E2D [3204]" miterlimit="8" joinstyle="miter"/>
                  <v:imagedata o:title=""/>
                  <o:lock v:ext="edit" aspectratio="f"/>
                </v:line>
                <v:line id="直接连接符 61" o:spid="_x0000_s1026" o:spt="20" style="position:absolute;left:10728;top:292962;flip:x;height:0;width:1776;" filled="f" stroked="t" coordsize="21600,21600" o:gfxdata="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2Uh9UugAAANsA&#10;AAAPAAAAAAAAAAEAIAAAACIAAABkcnMvZG93bnJldi54bWxQSwECFAAUAAAACACHTuJAMy8FnjsA&#10;AAA5AAAAEAAAAAAAAAABACAAAAAJAQAAZHJzL3NoYXBleG1sLnhtbFBLBQYAAAAABgAGAFsBAACz&#10;AwAAAAA=&#10;">
                  <v:fill on="f" focussize="0,0"/>
                  <v:stroke weight="2.25pt" color="#F18E2D [3204]" miterlimit="8" joinstyle="miter"/>
                  <v:imagedata o:title=""/>
                  <o:lock v:ext="edit" aspectratio="f"/>
                </v:line>
              </v:group>
            </w:pict>
          </mc:Fallback>
        </mc:AlternateContent>
      </w:r>
    </w:p>
    <w:p/>
    <w:p>
      <w:pPr>
        <w:snapToGrid w:val="0"/>
        <w:jc w:val="left"/>
        <w:rPr>
          <w:rFonts w:hAnsi="等线"/>
          <w:szCs w:val="21"/>
        </w:rPr>
      </w:pPr>
    </w:p>
    <w:p>
      <w:pPr>
        <w:snapToGrid w:val="0"/>
        <w:jc w:val="left"/>
      </w:pPr>
    </w:p>
    <w:p>
      <w:pPr>
        <w:spacing w:line="360" w:lineRule="auto"/>
        <w:ind w:firstLine="840" w:firstLineChars="300"/>
        <w:jc w:val="left"/>
        <w:outlineLvl w:val="2"/>
        <w:rPr>
          <w:rFonts w:hAnsi="等线" w:cs="Arial"/>
          <w:b/>
          <w:bCs/>
          <w:color w:val="F18E2D"/>
          <w:sz w:val="28"/>
          <w:szCs w:val="28"/>
        </w:rPr>
      </w:pPr>
      <w:bookmarkStart w:id="67" w:name="化疗用药提示"/>
      <w:bookmarkEnd w:id="67"/>
      <w:bookmarkStart w:id="68" w:name="_Toc89103145"/>
      <w:bookmarkStart w:id="69" w:name="_Hlk93489668"/>
      <w:r>
        <w:rPr>
          <w:rFonts w:hint="eastAsia" w:hAnsi="等线" w:cs="Arial"/>
          <w:b/>
          <w:bCs/>
          <w:color w:val="F18E2D"/>
          <w:sz w:val="28"/>
          <w:szCs w:val="28"/>
        </w:rPr>
        <w:drawing>
          <wp:anchor distT="0" distB="0" distL="114300" distR="114300" simplePos="0" relativeHeight="251694080" behindDoc="0" locked="0" layoutInCell="1" allowOverlap="1">
            <wp:simplePos x="0" y="0"/>
            <wp:positionH relativeFrom="column">
              <wp:posOffset>236220</wp:posOffset>
            </wp:positionH>
            <wp:positionV relativeFrom="paragraph">
              <wp:posOffset>48895</wp:posOffset>
            </wp:positionV>
            <wp:extent cx="274955" cy="277495"/>
            <wp:effectExtent l="0" t="0" r="0" b="8255"/>
            <wp:wrapNone/>
            <wp:docPr id="1032" name="图片 26" descr="D:\解码\4x\资源 2@45.png资源 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D:\解码\4x\资源 2@45.png资源 2@45"/>
                    <pic:cNvPicPr>
                      <a:picLocks noChangeAspect="1"/>
                    </pic:cNvPicPr>
                  </pic:nvPicPr>
                  <pic:blipFill>
                    <a:blip r:embed="rId14">
                      <a:duotone>
                        <a:prstClr val="black"/>
                        <a:srgbClr val="F18E2D">
                          <a:tint val="45000"/>
                          <a:satMod val="400000"/>
                        </a:srgbClr>
                      </a:duotone>
                    </a:blip>
                    <a:srcRect/>
                    <a:stretch>
                      <a:fillRect/>
                    </a:stretch>
                  </pic:blipFill>
                  <pic:spPr>
                    <a:xfrm>
                      <a:off x="0" y="0"/>
                      <a:ext cx="274955" cy="277495"/>
                    </a:xfrm>
                    <a:prstGeom prst="rect">
                      <a:avLst/>
                    </a:prstGeom>
                  </pic:spPr>
                </pic:pic>
              </a:graphicData>
            </a:graphic>
          </wp:anchor>
        </w:drawing>
      </w:r>
      <w:r>
        <w:rPr>
          <w:rFonts w:hAnsi="等线" w:cs="Arial"/>
          <w:b/>
          <w:bCs/>
          <w:color w:val="F18E2D"/>
          <w:sz w:val="28"/>
          <w:szCs w:val="28"/>
        </w:rPr>
        <w:t>化疗用药提示</w:t>
      </w:r>
      <w:bookmarkEnd w:id="68"/>
    </w:p>
    <w:p>
      <w:pPr>
        <w:spacing w:before="156" w:beforeLines="50" w:after="156" w:afterLines="50" w:line="360" w:lineRule="auto"/>
        <w:ind w:firstLine="420" w:firstLineChars="200"/>
        <w:rPr>
          <w:rFonts w:hAnsi="等线" w:cs="Arial"/>
          <w:szCs w:val="21"/>
        </w:rPr>
      </w:pPr>
      <w:r>
        <w:rPr>
          <w:rFonts w:hAnsi="等线" w:cs="Arial"/>
          <w:szCs w:val="21"/>
        </w:rPr>
        <w:t>化疗用药提示参考最高证据等级的用药提示进行综合判读，将常用化疗药物初步划分为推荐</w:t>
      </w:r>
      <w:r>
        <w:rPr>
          <w:rFonts w:hint="eastAsia" w:hAnsi="等线" w:cs="Arial"/>
          <w:szCs w:val="21"/>
        </w:rPr>
        <w:t>使用</w:t>
      </w:r>
      <w:r>
        <w:rPr>
          <w:rFonts w:hAnsi="等线" w:cs="Arial"/>
          <w:szCs w:val="21"/>
        </w:rPr>
        <w:t>、</w:t>
      </w:r>
      <w:r>
        <w:rPr>
          <w:rFonts w:hint="eastAsia" w:hAnsi="等线" w:cs="Arial"/>
          <w:szCs w:val="21"/>
        </w:rPr>
        <w:t>常规使用</w:t>
      </w:r>
      <w:r>
        <w:rPr>
          <w:rFonts w:hAnsi="等线" w:cs="Arial"/>
          <w:szCs w:val="21"/>
        </w:rPr>
        <w:t>和</w:t>
      </w:r>
      <w:r>
        <w:rPr>
          <w:rFonts w:hint="eastAsia" w:hAnsi="等线" w:cs="Arial"/>
          <w:szCs w:val="21"/>
        </w:rPr>
        <w:t>谨慎使用</w:t>
      </w:r>
      <w:r>
        <w:rPr>
          <w:rFonts w:hAnsi="等线" w:cs="Arial"/>
          <w:szCs w:val="21"/>
        </w:rPr>
        <w:t>，仅供医生参考，具体的治疗方案须由临床医生根据实际情况而决定。</w:t>
      </w:r>
    </w:p>
    <w:tbl>
      <w:tblPr>
        <w:tblStyle w:val="58"/>
        <w:tblW w:w="5000" w:type="pct"/>
        <w:tblInd w:w="0" w:type="dxa"/>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Layout w:type="fixed"/>
        <w:tblCellMar>
          <w:top w:w="0" w:type="dxa"/>
          <w:left w:w="108" w:type="dxa"/>
          <w:bottom w:w="0" w:type="dxa"/>
          <w:right w:w="108" w:type="dxa"/>
        </w:tblCellMar>
      </w:tblPr>
      <w:tblGrid>
        <w:gridCol w:w="1194"/>
        <w:gridCol w:w="1435"/>
        <w:gridCol w:w="2298"/>
        <w:gridCol w:w="1194"/>
        <w:gridCol w:w="1435"/>
        <w:gridCol w:w="2291"/>
        <w:gridCol w:w="8"/>
      </w:tblGrid>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blHeader/>
        </w:trPr>
        <w:tc>
          <w:tcPr>
            <w:tcW w:w="1194" w:type="dxa"/>
            <w:tcBorders>
              <w:top w:val="single" w:color="F8F8F8" w:sz="24" w:space="0"/>
              <w:left w:val="single" w:color="F8F8F8" w:sz="24" w:space="0"/>
              <w:bottom w:val="single" w:color="F8F8F8" w:sz="24" w:space="0"/>
              <w:right w:val="single" w:color="F8F8F8" w:sz="24" w:space="0"/>
              <w:insideV w:val="nil"/>
            </w:tcBorders>
            <w:shd w:val="clear" w:color="auto" w:fill="F18E2D"/>
            <w:vAlign w:val="center"/>
          </w:tcPr>
          <w:p>
            <w:pPr>
              <w:snapToGrid w:val="0"/>
              <w:jc w:val="center"/>
              <w:rPr>
                <w:rFonts w:hAnsi="等线"/>
                <w:b/>
                <w:bCs w:val="0"/>
                <w:color w:val="FFFFFF"/>
                <w:szCs w:val="21"/>
              </w:rPr>
            </w:pPr>
            <w:r>
              <w:rPr>
                <w:rFonts w:hint="eastAsia" w:hAnsi="等线"/>
                <w:b/>
                <w:bCs/>
                <w:color w:val="FFFFFF"/>
                <w:szCs w:val="21"/>
              </w:rPr>
              <w:t>序号</w:t>
            </w:r>
          </w:p>
        </w:tc>
        <w:tc>
          <w:tcPr>
            <w:tcW w:w="1435" w:type="dxa"/>
            <w:tcBorders>
              <w:top w:val="single" w:color="F8F8F8" w:sz="24" w:space="0"/>
              <w:left w:val="single" w:color="F8F8F8" w:sz="24" w:space="0"/>
              <w:bottom w:val="single" w:color="F8F8F8" w:sz="24" w:space="0"/>
              <w:right w:val="single" w:color="F8F8F8" w:sz="24" w:space="0"/>
              <w:insideV w:val="nil"/>
            </w:tcBorders>
            <w:shd w:val="clear" w:color="auto" w:fill="F18E2D"/>
            <w:vAlign w:val="center"/>
          </w:tcPr>
          <w:p>
            <w:pPr>
              <w:snapToGrid w:val="0"/>
              <w:jc w:val="center"/>
              <w:rPr>
                <w:rFonts w:hAnsi="等线"/>
                <w:b/>
                <w:bCs w:val="0"/>
                <w:color w:val="FFFFFF"/>
                <w:szCs w:val="21"/>
              </w:rPr>
            </w:pPr>
            <w:r>
              <w:rPr>
                <w:rFonts w:hint="eastAsia" w:hAnsi="等线"/>
                <w:b/>
                <w:bCs/>
                <w:color w:val="FFFFFF"/>
                <w:szCs w:val="21"/>
              </w:rPr>
              <w:t>药物名称</w:t>
            </w:r>
          </w:p>
        </w:tc>
        <w:tc>
          <w:tcPr>
            <w:tcW w:w="2298" w:type="dxa"/>
            <w:tcBorders>
              <w:top w:val="single" w:color="F8F8F8" w:sz="24" w:space="0"/>
              <w:left w:val="single" w:color="F8F8F8" w:sz="24" w:space="0"/>
              <w:bottom w:val="single" w:color="F8F8F8" w:sz="24" w:space="0"/>
              <w:right w:val="single" w:color="F8F8F8" w:sz="24" w:space="0"/>
              <w:insideV w:val="nil"/>
            </w:tcBorders>
            <w:shd w:val="clear" w:color="auto" w:fill="F18E2D"/>
            <w:vAlign w:val="center"/>
          </w:tcPr>
          <w:p>
            <w:pPr>
              <w:snapToGrid w:val="0"/>
              <w:jc w:val="center"/>
              <w:rPr>
                <w:rFonts w:hAnsi="等线"/>
                <w:b/>
                <w:bCs w:val="0"/>
                <w:color w:val="FFFFFF"/>
                <w:szCs w:val="21"/>
              </w:rPr>
            </w:pPr>
            <w:r>
              <w:rPr>
                <w:rFonts w:hAnsi="等线"/>
                <w:b/>
                <w:bCs/>
                <w:color w:val="FFFFFF"/>
                <w:szCs w:val="21"/>
              </w:rPr>
              <w:t>用药</w:t>
            </w:r>
            <w:r>
              <w:rPr>
                <w:rFonts w:hint="eastAsia" w:hAnsi="等线"/>
                <w:b/>
                <w:bCs/>
                <w:color w:val="FFFFFF"/>
                <w:szCs w:val="21"/>
              </w:rPr>
              <w:t>提示</w:t>
            </w:r>
          </w:p>
        </w:tc>
        <w:tc>
          <w:tcPr>
            <w:tcW w:w="1194" w:type="dxa"/>
            <w:tcBorders>
              <w:top w:val="single" w:color="F8F8F8" w:sz="24" w:space="0"/>
              <w:left w:val="single" w:color="F8F8F8" w:sz="24" w:space="0"/>
              <w:bottom w:val="single" w:color="F8F8F8" w:sz="24" w:space="0"/>
              <w:right w:val="single" w:color="F8F8F8" w:sz="24" w:space="0"/>
              <w:insideV w:val="nil"/>
            </w:tcBorders>
            <w:shd w:val="clear" w:color="auto" w:fill="F18E2D"/>
            <w:vAlign w:val="center"/>
          </w:tcPr>
          <w:p>
            <w:pPr>
              <w:snapToGrid w:val="0"/>
              <w:jc w:val="center"/>
              <w:rPr>
                <w:rFonts w:hAnsi="等线"/>
                <w:b/>
                <w:bCs w:val="0"/>
                <w:color w:val="FFFFFF"/>
                <w:szCs w:val="21"/>
              </w:rPr>
            </w:pPr>
            <w:r>
              <w:rPr>
                <w:rFonts w:hint="eastAsia" w:hAnsi="等线"/>
                <w:b/>
                <w:bCs/>
                <w:color w:val="FFFFFF"/>
                <w:szCs w:val="21"/>
              </w:rPr>
              <w:t>序号</w:t>
            </w:r>
          </w:p>
        </w:tc>
        <w:tc>
          <w:tcPr>
            <w:tcW w:w="1435" w:type="dxa"/>
            <w:tcBorders>
              <w:top w:val="single" w:color="F8F8F8" w:sz="24" w:space="0"/>
              <w:left w:val="single" w:color="F8F8F8" w:sz="24" w:space="0"/>
              <w:bottom w:val="single" w:color="F8F8F8" w:sz="24" w:space="0"/>
              <w:right w:val="single" w:color="F8F8F8" w:sz="24" w:space="0"/>
              <w:insideV w:val="nil"/>
            </w:tcBorders>
            <w:shd w:val="clear" w:color="auto" w:fill="F18E2D"/>
            <w:vAlign w:val="center"/>
          </w:tcPr>
          <w:p>
            <w:pPr>
              <w:snapToGrid w:val="0"/>
              <w:jc w:val="center"/>
              <w:rPr>
                <w:rFonts w:hAnsi="等线"/>
                <w:b/>
                <w:bCs w:val="0"/>
                <w:color w:val="FFFFFF"/>
                <w:szCs w:val="21"/>
              </w:rPr>
            </w:pPr>
            <w:r>
              <w:rPr>
                <w:rFonts w:hint="eastAsia" w:hAnsi="等线"/>
                <w:b/>
                <w:bCs/>
                <w:color w:val="FFFFFF"/>
                <w:szCs w:val="21"/>
              </w:rPr>
              <w:t>药物名称</w:t>
            </w:r>
          </w:p>
        </w:tc>
        <w:tc>
          <w:tcPr>
            <w:tcW w:w="2299" w:type="dxa"/>
            <w:gridSpan w:val="2"/>
            <w:tcBorders>
              <w:top w:val="single" w:color="F8F8F8" w:sz="24" w:space="0"/>
              <w:left w:val="single" w:color="F8F8F8" w:sz="24" w:space="0"/>
              <w:bottom w:val="single" w:color="F8F8F8" w:sz="24" w:space="0"/>
              <w:right w:val="single" w:color="F8F8F8" w:sz="24" w:space="0"/>
              <w:insideV w:val="nil"/>
            </w:tcBorders>
            <w:shd w:val="clear" w:color="auto" w:fill="F18E2D"/>
            <w:vAlign w:val="center"/>
          </w:tcPr>
          <w:p>
            <w:pPr>
              <w:snapToGrid w:val="0"/>
              <w:jc w:val="center"/>
              <w:rPr>
                <w:rFonts w:hAnsi="等线"/>
                <w:b/>
                <w:bCs w:val="0"/>
                <w:color w:val="FFFFFF"/>
                <w:szCs w:val="21"/>
              </w:rPr>
            </w:pPr>
            <w:r>
              <w:rPr>
                <w:rFonts w:hAnsi="等线"/>
                <w:b/>
                <w:bCs/>
                <w:color w:val="FFFFFF"/>
                <w:szCs w:val="21"/>
              </w:rPr>
              <w:t>用药</w:t>
            </w:r>
            <w:r>
              <w:rPr>
                <w:rFonts w:hint="eastAsia" w:hAnsi="等线"/>
                <w:b/>
                <w:bCs/>
                <w:color w:val="FFFFFF"/>
                <w:szCs w:val="21"/>
              </w:rPr>
              <w:t>提示</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1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default" w:hAnsi="等线" w:cs="等线"/>
                <w:b w:val="0"/>
                <w:bCs w:val="0"/>
                <w:sz w:val="20"/>
                <w:szCs w:val="20"/>
                <w:lang w:val="en-US" w:eastAsia="zh-CN" w:bidi="ar"/>
              </w:rPr>
            </w:pPr>
            <w:r>
              <w:rPr>
                <w:rFonts w:hint="eastAsia" w:hAnsi="等线" w:cs="等线"/>
                <w:b w:val="0"/>
                <w:bCs w:val="0"/>
                <w:sz w:val="20"/>
                <w:szCs w:val="20"/>
                <w:lang w:val="en-US" w:eastAsia="zh-CN" w:bidi="ar"/>
              </w:rPr>
              <w:t xml:space="preserve">1</w:t>
            </w:r>
          </w:p>
        </w:tc>
        <w:tc>
          <w:tcPr>
            <w:tcW w:w="1435"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cs="等线"/>
                <w:sz w:val="20"/>
                <w:szCs w:val="20"/>
                <w:lang w:bidi="ar"/>
              </w:rPr>
            </w:pPr>
            <w:r>
              <w:rPr>
                <w:rFonts w:hint="eastAsia" w:hAnsi="等线" w:cs="等线"/>
                <w:b w:val="0"/>
                <w:bCs w:val="0"/>
                <w:sz w:val="20"/>
                <w:szCs w:val="20"/>
                <w:lang w:val="en-US" w:eastAsia="zh-CN" w:bidi="ar"/>
              </w:rPr>
              <w:t xml:space="preserve">环磷酰胺</w:t>
            </w:r>
          </w:p>
        </w:tc>
        <w:tc>
          <w:tcPr>
            <w:tcW w:w="2298"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cs="等线"/>
                <w:sz w:val="20"/>
                <w:szCs w:val="20"/>
                <w:lang w:bidi="ar"/>
              </w:rPr>
            </w:pPr>
            <w:r>
              <w:rPr>
                <w:rFonts w:hint="eastAsia" w:hAnsi="等线" w:cs="等线"/>
                <w:b w:val="0"/>
                <w:bCs w:val="0"/>
                <w:sz w:val="20"/>
                <w:szCs w:val="20"/>
                <w:lang w:val="en-US" w:eastAsia="zh-CN" w:bidi="ar"/>
              </w:rPr>
              <w:t xml:space="preserve">疗效较好</w:t>
            </w:r>
          </w:p>
        </w:tc>
        <w:tc>
          <w:tcPr>
            <w:tcW w:w="11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default" w:hAnsi="等线" w:cs="等线"/>
                <w:sz w:val="20"/>
                <w:szCs w:val="20"/>
                <w:lang w:val="en-US" w:eastAsia="zh-CN" w:bidi="ar"/>
              </w:rPr>
            </w:pPr>
            <w:r>
              <w:rPr>
                <w:rFonts w:hint="eastAsia" w:hAnsi="等线" w:cs="等线"/>
                <w:b w:val="0"/>
                <w:bCs w:val="0"/>
                <w:sz w:val="20"/>
                <w:szCs w:val="20"/>
                <w:lang w:val="en-US" w:eastAsia="zh-CN" w:bidi="ar"/>
              </w:rPr>
              <w:t xml:space="preserve">2</w:t>
            </w:r>
          </w:p>
        </w:tc>
        <w:tc>
          <w:tcPr>
            <w:tcW w:w="1435"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卡铂</w:t>
            </w:r>
          </w:p>
        </w:tc>
        <w:tc>
          <w:tcPr>
            <w:tcW w:w="2299" w:type="dxa"/>
            <w:gridSpan w:val="2"/>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疗效较好,毒副较高</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1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default" w:hAnsi="等线" w:cs="等线"/>
                <w:b w:val="0"/>
                <w:bCs w:val="0"/>
                <w:sz w:val="20"/>
                <w:szCs w:val="20"/>
                <w:lang w:val="en-US" w:eastAsia="zh-CN" w:bidi="ar"/>
              </w:rPr>
            </w:pPr>
            <w:r>
              <w:rPr>
                <w:rFonts w:hint="eastAsia" w:hAnsi="等线" w:cs="等线"/>
                <w:b w:val="0"/>
                <w:bCs w:val="0"/>
                <w:sz w:val="20"/>
                <w:szCs w:val="20"/>
                <w:lang w:val="en-US" w:eastAsia="zh-CN" w:bidi="ar"/>
              </w:rPr>
              <w:t xml:space="preserve">3</w:t>
            </w:r>
          </w:p>
        </w:tc>
        <w:tc>
          <w:tcPr>
            <w:tcW w:w="1435"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cs="等线"/>
                <w:sz w:val="20"/>
                <w:szCs w:val="20"/>
                <w:lang w:bidi="ar"/>
              </w:rPr>
            </w:pPr>
            <w:r>
              <w:rPr>
                <w:rFonts w:hint="eastAsia" w:hAnsi="等线" w:cs="等线"/>
                <w:b w:val="0"/>
                <w:bCs w:val="0"/>
                <w:sz w:val="20"/>
                <w:szCs w:val="20"/>
                <w:lang w:val="en-US" w:eastAsia="zh-CN" w:bidi="ar"/>
              </w:rPr>
              <w:t xml:space="preserve">奥沙利铂</w:t>
            </w:r>
          </w:p>
        </w:tc>
        <w:tc>
          <w:tcPr>
            <w:tcW w:w="2298"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cs="等线"/>
                <w:sz w:val="20"/>
                <w:szCs w:val="20"/>
                <w:lang w:bidi="ar"/>
              </w:rPr>
            </w:pPr>
            <w:r>
              <w:rPr>
                <w:rFonts w:hint="eastAsia" w:hAnsi="等线" w:cs="等线"/>
                <w:b w:val="0"/>
                <w:bCs w:val="0"/>
                <w:sz w:val="20"/>
                <w:szCs w:val="20"/>
                <w:lang w:val="en-US" w:eastAsia="zh-CN" w:bidi="ar"/>
              </w:rPr>
              <w:t xml:space="preserve">疗效较好,毒副较高</w:t>
            </w:r>
          </w:p>
        </w:tc>
        <w:tc>
          <w:tcPr>
            <w:tcW w:w="11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default" w:hAnsi="等线" w:cs="等线"/>
                <w:sz w:val="20"/>
                <w:szCs w:val="20"/>
                <w:lang w:val="en-US" w:eastAsia="zh-CN" w:bidi="ar"/>
              </w:rPr>
            </w:pPr>
            <w:r>
              <w:rPr>
                <w:rFonts w:hint="eastAsia" w:hAnsi="等线" w:cs="等线"/>
                <w:b w:val="0"/>
                <w:bCs w:val="0"/>
                <w:sz w:val="20"/>
                <w:szCs w:val="20"/>
                <w:lang w:val="en-US" w:eastAsia="zh-CN" w:bidi="ar"/>
              </w:rPr>
              <w:t xml:space="preserve">4</w:t>
            </w:r>
          </w:p>
        </w:tc>
        <w:tc>
          <w:tcPr>
            <w:tcW w:w="1435"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顺铂</w:t>
            </w:r>
          </w:p>
        </w:tc>
        <w:tc>
          <w:tcPr>
            <w:tcW w:w="2299" w:type="dxa"/>
            <w:gridSpan w:val="2"/>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疗效较好,毒副较低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1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default" w:hAnsi="等线" w:cs="等线"/>
                <w:b w:val="0"/>
                <w:bCs w:val="0"/>
                <w:sz w:val="20"/>
                <w:szCs w:val="20"/>
                <w:lang w:val="en-US" w:eastAsia="zh-CN" w:bidi="ar"/>
              </w:rPr>
            </w:pPr>
            <w:r>
              <w:rPr>
                <w:rFonts w:hint="eastAsia" w:hAnsi="等线" w:cs="等线"/>
                <w:b w:val="0"/>
                <w:bCs w:val="0"/>
                <w:sz w:val="20"/>
                <w:szCs w:val="20"/>
                <w:lang w:val="en-US" w:eastAsia="zh-CN" w:bidi="ar"/>
              </w:rPr>
              <w:t xml:space="preserve">5</w:t>
            </w:r>
          </w:p>
        </w:tc>
        <w:tc>
          <w:tcPr>
            <w:tcW w:w="1435"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cs="等线"/>
                <w:sz w:val="20"/>
                <w:szCs w:val="20"/>
                <w:lang w:bidi="ar"/>
              </w:rPr>
            </w:pPr>
            <w:r>
              <w:rPr>
                <w:rFonts w:hint="eastAsia" w:hAnsi="等线" w:cs="等线"/>
                <w:b w:val="0"/>
                <w:bCs w:val="0"/>
                <w:sz w:val="20"/>
                <w:szCs w:val="20"/>
                <w:lang w:val="en-US" w:eastAsia="zh-CN" w:bidi="ar"/>
              </w:rPr>
              <w:t xml:space="preserve">卡培他滨</w:t>
            </w:r>
          </w:p>
        </w:tc>
        <w:tc>
          <w:tcPr>
            <w:tcW w:w="2298"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cs="等线"/>
                <w:sz w:val="20"/>
                <w:szCs w:val="20"/>
                <w:lang w:bidi="ar"/>
              </w:rPr>
            </w:pPr>
            <w:r>
              <w:rPr>
                <w:rFonts w:hint="eastAsia" w:hAnsi="等线" w:cs="等线"/>
                <w:b w:val="0"/>
                <w:bCs w:val="0"/>
                <w:sz w:val="20"/>
                <w:szCs w:val="20"/>
                <w:lang w:val="en-US" w:eastAsia="zh-CN" w:bidi="ar"/>
              </w:rPr>
              <w:t xml:space="preserve">毒副较低</w:t>
            </w:r>
          </w:p>
        </w:tc>
        <w:tc>
          <w:tcPr>
            <w:tcW w:w="11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default" w:hAnsi="等线" w:cs="等线"/>
                <w:sz w:val="20"/>
                <w:szCs w:val="20"/>
                <w:lang w:val="en-US" w:eastAsia="zh-CN" w:bidi="ar"/>
              </w:rPr>
            </w:pPr>
            <w:r>
              <w:rPr>
                <w:rFonts w:hint="eastAsia" w:hAnsi="等线" w:cs="等线"/>
                <w:b w:val="0"/>
                <w:bCs w:val="0"/>
                <w:sz w:val="20"/>
                <w:szCs w:val="20"/>
                <w:lang w:val="en-US" w:eastAsia="zh-CN" w:bidi="ar"/>
              </w:rPr>
              <w:t xml:space="preserve">6</w:t>
            </w:r>
          </w:p>
        </w:tc>
        <w:tc>
          <w:tcPr>
            <w:tcW w:w="1435"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替加氟</w:t>
            </w:r>
          </w:p>
        </w:tc>
        <w:tc>
          <w:tcPr>
            <w:tcW w:w="2299" w:type="dxa"/>
            <w:gridSpan w:val="2"/>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1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default" w:hAnsi="等线" w:cs="等线"/>
                <w:b w:val="0"/>
                <w:bCs w:val="0"/>
                <w:sz w:val="20"/>
                <w:szCs w:val="20"/>
                <w:lang w:val="en-US" w:eastAsia="zh-CN" w:bidi="ar"/>
              </w:rPr>
            </w:pPr>
            <w:r>
              <w:rPr>
                <w:rFonts w:hint="eastAsia" w:hAnsi="等线" w:cs="等线"/>
                <w:b w:val="0"/>
                <w:bCs w:val="0"/>
                <w:sz w:val="20"/>
                <w:szCs w:val="20"/>
                <w:lang w:val="en-US" w:eastAsia="zh-CN" w:bidi="ar"/>
              </w:rPr>
              <w:t xml:space="preserve">7</w:t>
            </w:r>
          </w:p>
        </w:tc>
        <w:tc>
          <w:tcPr>
            <w:tcW w:w="1435"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cs="等线"/>
                <w:sz w:val="20"/>
                <w:szCs w:val="20"/>
                <w:lang w:bidi="ar"/>
              </w:rPr>
            </w:pPr>
            <w:r>
              <w:rPr>
                <w:rFonts w:hint="eastAsia" w:hAnsi="等线" w:cs="等线"/>
                <w:b w:val="0"/>
                <w:bCs w:val="0"/>
                <w:sz w:val="20"/>
                <w:szCs w:val="20"/>
                <w:lang w:val="en-US" w:eastAsia="zh-CN" w:bidi="ar"/>
              </w:rPr>
              <w:t xml:space="preserve">替吉奥</w:t>
            </w:r>
          </w:p>
        </w:tc>
        <w:tc>
          <w:tcPr>
            <w:tcW w:w="2298"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cs="等线"/>
                <w:sz w:val="20"/>
                <w:szCs w:val="20"/>
                <w:lang w:bidi="ar"/>
              </w:rPr>
            </w:pPr>
            <w:r>
              <w:rPr>
                <w:rFonts w:hint="eastAsia" w:hAnsi="等线" w:cs="等线"/>
                <w:b w:val="0"/>
                <w:bCs w:val="0"/>
                <w:sz w:val="20"/>
                <w:szCs w:val="20"/>
                <w:lang w:val="en-US" w:eastAsia="zh-CN" w:bidi="ar"/>
              </w:rPr>
              <w:t xml:space="preserve">毒副较低</w:t>
            </w:r>
          </w:p>
        </w:tc>
        <w:tc>
          <w:tcPr>
            <w:tcW w:w="11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default" w:hAnsi="等线" w:cs="等线"/>
                <w:sz w:val="20"/>
                <w:szCs w:val="20"/>
                <w:lang w:val="en-US" w:eastAsia="zh-CN" w:bidi="ar"/>
              </w:rPr>
            </w:pPr>
            <w:r>
              <w:rPr>
                <w:rFonts w:hint="eastAsia" w:hAnsi="等线" w:cs="等线"/>
                <w:b w:val="0"/>
                <w:bCs w:val="0"/>
                <w:sz w:val="20"/>
                <w:szCs w:val="20"/>
                <w:lang w:val="en-US" w:eastAsia="zh-CN" w:bidi="ar"/>
              </w:rPr>
              <w:t xml:space="preserve">8</w:t>
            </w:r>
          </w:p>
        </w:tc>
        <w:tc>
          <w:tcPr>
            <w:tcW w:w="1435"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氟尿嘧啶</w:t>
            </w:r>
          </w:p>
        </w:tc>
        <w:tc>
          <w:tcPr>
            <w:tcW w:w="2299" w:type="dxa"/>
            <w:gridSpan w:val="2"/>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疗效较好,毒副较高</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1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default" w:hAnsi="等线" w:cs="等线"/>
                <w:b w:val="0"/>
                <w:bCs w:val="0"/>
                <w:sz w:val="20"/>
                <w:szCs w:val="20"/>
                <w:lang w:val="en-US" w:eastAsia="zh-CN" w:bidi="ar"/>
              </w:rPr>
            </w:pPr>
            <w:r>
              <w:rPr>
                <w:rFonts w:hint="eastAsia" w:hAnsi="等线" w:cs="等线"/>
                <w:b w:val="0"/>
                <w:bCs w:val="0"/>
                <w:sz w:val="20"/>
                <w:szCs w:val="20"/>
                <w:lang w:val="en-US" w:eastAsia="zh-CN" w:bidi="ar"/>
              </w:rPr>
              <w:t xml:space="preserve">9</w:t>
            </w:r>
          </w:p>
        </w:tc>
        <w:tc>
          <w:tcPr>
            <w:tcW w:w="1435"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cs="等线"/>
                <w:sz w:val="20"/>
                <w:szCs w:val="20"/>
                <w:lang w:bidi="ar"/>
              </w:rPr>
            </w:pPr>
            <w:r>
              <w:rPr>
                <w:rFonts w:hint="eastAsia" w:hAnsi="等线" w:cs="等线"/>
                <w:b w:val="0"/>
                <w:bCs w:val="0"/>
                <w:sz w:val="20"/>
                <w:szCs w:val="20"/>
                <w:lang w:val="en-US" w:eastAsia="zh-CN" w:bidi="ar"/>
              </w:rPr>
              <w:t xml:space="preserve">吉西他滨</w:t>
            </w:r>
          </w:p>
        </w:tc>
        <w:tc>
          <w:tcPr>
            <w:tcW w:w="2298"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cs="等线"/>
                <w:sz w:val="20"/>
                <w:szCs w:val="20"/>
                <w:lang w:bidi="ar"/>
              </w:rPr>
            </w:pPr>
            <w:r>
              <w:rPr>
                <w:rFonts w:hint="eastAsia" w:hAnsi="等线" w:cs="等线"/>
                <w:b w:val="0"/>
                <w:bCs w:val="0"/>
                <w:sz w:val="20"/>
                <w:szCs w:val="20"/>
                <w:lang w:val="en-US" w:eastAsia="zh-CN" w:bidi="ar"/>
              </w:rPr>
              <w:t xml:space="preserve">毒副较低</w:t>
            </w:r>
          </w:p>
        </w:tc>
        <w:tc>
          <w:tcPr>
            <w:tcW w:w="11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default" w:hAnsi="等线" w:cs="等线"/>
                <w:sz w:val="20"/>
                <w:szCs w:val="20"/>
                <w:lang w:val="en-US" w:eastAsia="zh-CN" w:bidi="ar"/>
              </w:rPr>
            </w:pPr>
            <w:r>
              <w:rPr>
                <w:rFonts w:hint="eastAsia" w:hAnsi="等线" w:cs="等线"/>
                <w:b w:val="0"/>
                <w:bCs w:val="0"/>
                <w:sz w:val="20"/>
                <w:szCs w:val="20"/>
                <w:lang w:val="en-US" w:eastAsia="zh-CN" w:bidi="ar"/>
              </w:rPr>
              <w:t xml:space="preserve">10</w:t>
            </w:r>
          </w:p>
        </w:tc>
        <w:tc>
          <w:tcPr>
            <w:tcW w:w="1435"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培美曲塞</w:t>
            </w:r>
          </w:p>
        </w:tc>
        <w:tc>
          <w:tcPr>
            <w:tcW w:w="2299" w:type="dxa"/>
            <w:gridSpan w:val="2"/>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疗效较差</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1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default" w:hAnsi="等线" w:cs="等线"/>
                <w:b w:val="0"/>
                <w:bCs w:val="0"/>
                <w:sz w:val="20"/>
                <w:szCs w:val="20"/>
                <w:lang w:val="en-US" w:eastAsia="zh-CN" w:bidi="ar"/>
              </w:rPr>
            </w:pPr>
            <w:r>
              <w:rPr>
                <w:rFonts w:hint="eastAsia" w:hAnsi="等线" w:cs="等线"/>
                <w:b w:val="0"/>
                <w:bCs w:val="0"/>
                <w:sz w:val="20"/>
                <w:szCs w:val="20"/>
                <w:lang w:val="en-US" w:eastAsia="zh-CN" w:bidi="ar"/>
              </w:rPr>
              <w:t xml:space="preserve">11</w:t>
            </w:r>
          </w:p>
        </w:tc>
        <w:tc>
          <w:tcPr>
            <w:tcW w:w="1435"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cs="等线"/>
                <w:sz w:val="20"/>
                <w:szCs w:val="20"/>
                <w:lang w:bidi="ar"/>
              </w:rPr>
            </w:pPr>
            <w:r>
              <w:rPr>
                <w:rFonts w:hint="eastAsia" w:hAnsi="等线" w:cs="等线"/>
                <w:b w:val="0"/>
                <w:bCs w:val="0"/>
                <w:sz w:val="20"/>
                <w:szCs w:val="20"/>
                <w:lang w:val="en-US" w:eastAsia="zh-CN" w:bidi="ar"/>
              </w:rPr>
              <w:t xml:space="preserve">甲氨蝶呤</w:t>
            </w:r>
          </w:p>
        </w:tc>
        <w:tc>
          <w:tcPr>
            <w:tcW w:w="2298"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cs="等线"/>
                <w:sz w:val="20"/>
                <w:szCs w:val="20"/>
                <w:lang w:bidi="ar"/>
              </w:rPr>
            </w:pPr>
            <w:r>
              <w:rPr>
                <w:rFonts w:hint="eastAsia" w:hAnsi="等线" w:cs="等线"/>
                <w:b w:val="0"/>
                <w:bCs w:val="0"/>
                <w:sz w:val="20"/>
                <w:szCs w:val="20"/>
                <w:lang w:val="en-US" w:eastAsia="zh-CN" w:bidi="ar"/>
              </w:rPr>
              <w:t xml:space="preserve">毒副一般</w:t>
            </w:r>
          </w:p>
        </w:tc>
        <w:tc>
          <w:tcPr>
            <w:tcW w:w="11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default" w:hAnsi="等线" w:cs="等线"/>
                <w:sz w:val="20"/>
                <w:szCs w:val="20"/>
                <w:lang w:val="en-US" w:eastAsia="zh-CN" w:bidi="ar"/>
              </w:rPr>
            </w:pPr>
            <w:r>
              <w:rPr>
                <w:rFonts w:hint="eastAsia" w:hAnsi="等线" w:cs="等线"/>
                <w:b w:val="0"/>
                <w:bCs w:val="0"/>
                <w:sz w:val="20"/>
                <w:szCs w:val="20"/>
                <w:lang w:val="en-US" w:eastAsia="zh-CN" w:bidi="ar"/>
              </w:rPr>
              <w:t xml:space="preserve">12</w:t>
            </w:r>
          </w:p>
        </w:tc>
        <w:tc>
          <w:tcPr>
            <w:tcW w:w="1435"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伊立替康</w:t>
            </w:r>
          </w:p>
        </w:tc>
        <w:tc>
          <w:tcPr>
            <w:tcW w:w="2299" w:type="dxa"/>
            <w:gridSpan w:val="2"/>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1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default" w:hAnsi="等线" w:cs="等线"/>
                <w:b w:val="0"/>
                <w:bCs w:val="0"/>
                <w:sz w:val="20"/>
                <w:szCs w:val="20"/>
                <w:lang w:val="en-US" w:eastAsia="zh-CN" w:bidi="ar"/>
              </w:rPr>
            </w:pPr>
            <w:r>
              <w:rPr>
                <w:rFonts w:hint="eastAsia" w:hAnsi="等线" w:cs="等线"/>
                <w:b w:val="0"/>
                <w:bCs w:val="0"/>
                <w:sz w:val="20"/>
                <w:szCs w:val="20"/>
                <w:lang w:val="en-US" w:eastAsia="zh-CN" w:bidi="ar"/>
              </w:rPr>
              <w:t xml:space="preserve">13</w:t>
            </w:r>
          </w:p>
        </w:tc>
        <w:tc>
          <w:tcPr>
            <w:tcW w:w="1435"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cs="等线"/>
                <w:sz w:val="20"/>
                <w:szCs w:val="20"/>
                <w:lang w:bidi="ar"/>
              </w:rPr>
            </w:pPr>
            <w:r>
              <w:rPr>
                <w:rFonts w:hint="eastAsia" w:hAnsi="等线" w:cs="等线"/>
                <w:b w:val="0"/>
                <w:bCs w:val="0"/>
                <w:sz w:val="20"/>
                <w:szCs w:val="20"/>
                <w:lang w:val="en-US" w:eastAsia="zh-CN" w:bidi="ar"/>
              </w:rPr>
              <w:t xml:space="preserve">依托泊苷</w:t>
            </w:r>
          </w:p>
        </w:tc>
        <w:tc>
          <w:tcPr>
            <w:tcW w:w="2298"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cs="等线"/>
                <w:sz w:val="20"/>
                <w:szCs w:val="20"/>
                <w:lang w:bidi="ar"/>
              </w:rPr>
            </w:pPr>
            <w:r>
              <w:rPr>
                <w:rFonts w:hint="eastAsia" w:hAnsi="等线" w:cs="等线"/>
                <w:b w:val="0"/>
                <w:bCs w:val="0"/>
                <w:sz w:val="20"/>
                <w:szCs w:val="20"/>
                <w:lang w:val="en-US" w:eastAsia="zh-CN" w:bidi="ar"/>
              </w:rPr>
              <w:t xml:space="preserve">毒副较低</w:t>
            </w:r>
          </w:p>
        </w:tc>
        <w:tc>
          <w:tcPr>
            <w:tcW w:w="11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default" w:hAnsi="等线" w:cs="等线"/>
                <w:sz w:val="20"/>
                <w:szCs w:val="20"/>
                <w:lang w:val="en-US" w:eastAsia="zh-CN" w:bidi="ar"/>
              </w:rPr>
            </w:pPr>
            <w:r>
              <w:rPr>
                <w:rFonts w:hint="eastAsia" w:hAnsi="等线" w:cs="等线"/>
                <w:b w:val="0"/>
                <w:bCs w:val="0"/>
                <w:sz w:val="20"/>
                <w:szCs w:val="20"/>
                <w:lang w:val="en-US" w:eastAsia="zh-CN" w:bidi="ar"/>
              </w:rPr>
              <w:t xml:space="preserve">14</w:t>
            </w:r>
          </w:p>
        </w:tc>
        <w:tc>
          <w:tcPr>
            <w:tcW w:w="1435"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多西他赛</w:t>
            </w:r>
          </w:p>
        </w:tc>
        <w:tc>
          <w:tcPr>
            <w:tcW w:w="2299" w:type="dxa"/>
            <w:gridSpan w:val="2"/>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疗效较差,毒副较低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1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default" w:hAnsi="等线" w:cs="等线"/>
                <w:b w:val="0"/>
                <w:bCs w:val="0"/>
                <w:sz w:val="20"/>
                <w:szCs w:val="20"/>
                <w:lang w:val="en-US" w:eastAsia="zh-CN" w:bidi="ar"/>
              </w:rPr>
            </w:pPr>
            <w:r>
              <w:rPr>
                <w:rFonts w:hint="eastAsia" w:hAnsi="等线" w:cs="等线"/>
                <w:b w:val="0"/>
                <w:bCs w:val="0"/>
                <w:sz w:val="20"/>
                <w:szCs w:val="20"/>
                <w:lang w:val="en-US" w:eastAsia="zh-CN" w:bidi="ar"/>
              </w:rPr>
              <w:t xml:space="preserve">15</w:t>
            </w:r>
          </w:p>
        </w:tc>
        <w:tc>
          <w:tcPr>
            <w:tcW w:w="1435"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cs="等线"/>
                <w:sz w:val="20"/>
                <w:szCs w:val="20"/>
                <w:lang w:bidi="ar"/>
              </w:rPr>
            </w:pPr>
            <w:r>
              <w:rPr>
                <w:rFonts w:hint="eastAsia" w:hAnsi="等线" w:cs="等线"/>
                <w:b w:val="0"/>
                <w:bCs w:val="0"/>
                <w:sz w:val="20"/>
                <w:szCs w:val="20"/>
                <w:lang w:val="en-US" w:eastAsia="zh-CN" w:bidi="ar"/>
              </w:rPr>
              <w:t xml:space="preserve">紫杉醇</w:t>
            </w:r>
          </w:p>
        </w:tc>
        <w:tc>
          <w:tcPr>
            <w:tcW w:w="2298"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cs="等线"/>
                <w:sz w:val="20"/>
                <w:szCs w:val="20"/>
                <w:lang w:bidi="ar"/>
              </w:rPr>
            </w:pPr>
            <w:r>
              <w:rPr>
                <w:rFonts w:hint="eastAsia" w:hAnsi="等线" w:cs="等线"/>
                <w:b w:val="0"/>
                <w:bCs w:val="0"/>
                <w:sz w:val="20"/>
                <w:szCs w:val="20"/>
                <w:lang w:val="en-US" w:eastAsia="zh-CN" w:bidi="ar"/>
              </w:rPr>
              <w:t xml:space="preserve">疗效较好,毒副较低</w:t>
            </w:r>
          </w:p>
        </w:tc>
        <w:tc>
          <w:tcPr>
            <w:tcW w:w="11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default" w:hAnsi="等线" w:cs="等线"/>
                <w:sz w:val="20"/>
                <w:szCs w:val="20"/>
                <w:lang w:val="en-US" w:eastAsia="zh-CN" w:bidi="ar"/>
              </w:rPr>
            </w:pPr>
            <w:r>
              <w:rPr>
                <w:rFonts w:hint="eastAsia" w:hAnsi="等线" w:cs="等线"/>
                <w:b w:val="0"/>
                <w:bCs w:val="0"/>
                <w:sz w:val="20"/>
                <w:szCs w:val="20"/>
                <w:lang w:val="en-US" w:eastAsia="zh-CN" w:bidi="ar"/>
              </w:rPr>
              <w:t xml:space="preserve">16</w:t>
            </w:r>
          </w:p>
        </w:tc>
        <w:tc>
          <w:tcPr>
            <w:tcW w:w="1435"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长春新碱</w:t>
            </w:r>
          </w:p>
        </w:tc>
        <w:tc>
          <w:tcPr>
            <w:tcW w:w="2299" w:type="dxa"/>
            <w:gridSpan w:val="2"/>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疗效较差</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1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default" w:hAnsi="等线" w:cs="等线"/>
                <w:b w:val="0"/>
                <w:bCs w:val="0"/>
                <w:sz w:val="20"/>
                <w:szCs w:val="20"/>
                <w:lang w:val="en-US" w:eastAsia="zh-CN" w:bidi="ar"/>
              </w:rPr>
            </w:pPr>
            <w:r>
              <w:rPr>
                <w:rFonts w:hint="eastAsia" w:hAnsi="等线" w:cs="等线"/>
                <w:b w:val="0"/>
                <w:bCs w:val="0"/>
                <w:sz w:val="20"/>
                <w:szCs w:val="20"/>
                <w:lang w:val="en-US" w:eastAsia="zh-CN" w:bidi="ar"/>
              </w:rPr>
              <w:t xml:space="preserve">17</w:t>
            </w:r>
          </w:p>
        </w:tc>
        <w:tc>
          <w:tcPr>
            <w:tcW w:w="1435"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cs="等线"/>
                <w:sz w:val="20"/>
                <w:szCs w:val="20"/>
                <w:lang w:bidi="ar"/>
              </w:rPr>
            </w:pPr>
            <w:r>
              <w:rPr>
                <w:rFonts w:hint="eastAsia" w:hAnsi="等线" w:cs="等线"/>
                <w:b w:val="0"/>
                <w:bCs w:val="0"/>
                <w:sz w:val="20"/>
                <w:szCs w:val="20"/>
                <w:lang w:val="en-US" w:eastAsia="zh-CN" w:bidi="ar"/>
              </w:rPr>
              <w:t xml:space="preserve">长春瑞滨</w:t>
            </w:r>
          </w:p>
        </w:tc>
        <w:tc>
          <w:tcPr>
            <w:tcW w:w="2298"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cs="等线"/>
                <w:sz w:val="20"/>
                <w:szCs w:val="20"/>
                <w:lang w:bidi="ar"/>
              </w:rPr>
            </w:pPr>
            <w:r>
              <w:rPr>
                <w:rFonts w:hint="eastAsia" w:hAnsi="等线" w:cs="等线"/>
                <w:b w:val="0"/>
                <w:bCs w:val="0"/>
                <w:sz w:val="20"/>
                <w:szCs w:val="20"/>
                <w:lang w:val="en-US" w:eastAsia="zh-CN" w:bidi="ar"/>
              </w:rPr>
              <w:t xml:space="preserve">疗效较差</w:t>
            </w:r>
          </w:p>
        </w:tc>
        <w:tc>
          <w:tcPr>
            <w:tcW w:w="11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default" w:hAnsi="等线" w:cs="等线"/>
                <w:sz w:val="20"/>
                <w:szCs w:val="20"/>
                <w:lang w:val="en-US" w:eastAsia="zh-CN" w:bidi="ar"/>
              </w:rPr>
            </w:pPr>
            <w:r>
              <w:rPr>
                <w:rFonts w:hint="eastAsia" w:hAnsi="等线" w:cs="等线"/>
                <w:b w:val="0"/>
                <w:bCs w:val="0"/>
                <w:sz w:val="20"/>
                <w:szCs w:val="20"/>
                <w:lang w:val="en-US" w:eastAsia="zh-CN" w:bidi="ar"/>
              </w:rPr>
              <w:t xml:space="preserve">18</w:t>
            </w:r>
          </w:p>
        </w:tc>
        <w:tc>
          <w:tcPr>
            <w:tcW w:w="1435"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丝裂霉素</w:t>
            </w:r>
          </w:p>
        </w:tc>
        <w:tc>
          <w:tcPr>
            <w:tcW w:w="2299" w:type="dxa"/>
            <w:gridSpan w:val="2"/>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疗效较好</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1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default" w:hAnsi="等线" w:cs="等线"/>
                <w:b w:val="0"/>
                <w:bCs w:val="0"/>
                <w:sz w:val="20"/>
                <w:szCs w:val="20"/>
                <w:lang w:val="en-US" w:eastAsia="zh-CN" w:bidi="ar"/>
              </w:rPr>
            </w:pPr>
            <w:r>
              <w:rPr>
                <w:rFonts w:hint="eastAsia" w:hAnsi="等线" w:cs="等线"/>
                <w:b w:val="0"/>
                <w:bCs w:val="0"/>
                <w:sz w:val="20"/>
                <w:szCs w:val="20"/>
                <w:lang w:val="en-US" w:eastAsia="zh-CN" w:bidi="ar"/>
              </w:rPr>
              <w:t xml:space="preserve">19</w:t>
            </w:r>
          </w:p>
        </w:tc>
        <w:tc>
          <w:tcPr>
            <w:tcW w:w="1435"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cs="等线"/>
                <w:sz w:val="20"/>
                <w:szCs w:val="20"/>
                <w:lang w:bidi="ar"/>
              </w:rPr>
            </w:pPr>
            <w:r>
              <w:rPr>
                <w:rFonts w:hint="eastAsia" w:hAnsi="等线" w:cs="等线"/>
                <w:b w:val="0"/>
                <w:bCs w:val="0"/>
                <w:sz w:val="20"/>
                <w:szCs w:val="20"/>
                <w:lang w:val="en-US" w:eastAsia="zh-CN" w:bidi="ar"/>
              </w:rPr>
              <w:t xml:space="preserve">多柔比星</w:t>
            </w:r>
          </w:p>
        </w:tc>
        <w:tc>
          <w:tcPr>
            <w:tcW w:w="2298"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cs="等线"/>
                <w:sz w:val="20"/>
                <w:szCs w:val="20"/>
                <w:lang w:bidi="ar"/>
              </w:rPr>
            </w:pPr>
            <w:r>
              <w:rPr>
                <w:rFonts w:hint="eastAsia" w:hAnsi="等线" w:cs="等线"/>
                <w:b w:val="0"/>
                <w:bCs w:val="0"/>
                <w:sz w:val="20"/>
                <w:szCs w:val="20"/>
                <w:lang w:val="en-US" w:eastAsia="zh-CN" w:bidi="ar"/>
              </w:rPr>
              <w:t xml:space="preserve">疗效较好,毒副较高</w:t>
            </w:r>
          </w:p>
        </w:tc>
        <w:tc>
          <w:tcPr>
            <w:tcW w:w="11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default" w:hAnsi="等线" w:cs="等线"/>
                <w:sz w:val="20"/>
                <w:szCs w:val="20"/>
                <w:lang w:val="en-US" w:eastAsia="zh-CN" w:bidi="ar"/>
              </w:rPr>
            </w:pPr>
            <w:r>
              <w:rPr>
                <w:rFonts w:hint="eastAsia" w:hAnsi="等线" w:cs="等线"/>
                <w:b w:val="0"/>
                <w:bCs w:val="0"/>
                <w:sz w:val="20"/>
                <w:szCs w:val="20"/>
                <w:lang w:val="en-US" w:eastAsia="zh-CN" w:bidi="ar"/>
              </w:rPr>
              <w:t xml:space="preserve">20</w:t>
            </w:r>
          </w:p>
        </w:tc>
        <w:tc>
          <w:tcPr>
            <w:tcW w:w="1435"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表柔比星</w:t>
            </w:r>
          </w:p>
        </w:tc>
        <w:tc>
          <w:tcPr>
            <w:tcW w:w="2299" w:type="dxa"/>
            <w:gridSpan w:val="2"/>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疗效较好,毒副一般</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1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default" w:hAnsi="等线" w:cs="等线"/>
                <w:b w:val="0"/>
                <w:bCs w:val="0"/>
                <w:sz w:val="20"/>
                <w:szCs w:val="20"/>
                <w:lang w:val="en-US" w:eastAsia="zh-CN" w:bidi="ar"/>
              </w:rPr>
            </w:pPr>
            <w:r>
              <w:rPr>
                <w:rFonts w:hint="eastAsia" w:hAnsi="等线" w:cs="等线"/>
                <w:b w:val="0"/>
                <w:bCs w:val="0"/>
                <w:sz w:val="20"/>
                <w:szCs w:val="20"/>
                <w:lang w:val="en-US" w:eastAsia="zh-CN" w:bidi="ar"/>
              </w:rPr>
              <w:t xml:space="preserve">21</w:t>
            </w:r>
          </w:p>
        </w:tc>
        <w:tc>
          <w:tcPr>
            <w:tcW w:w="1435"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cs="等线"/>
                <w:sz w:val="20"/>
                <w:szCs w:val="20"/>
                <w:lang w:bidi="ar"/>
              </w:rPr>
            </w:pPr>
            <w:r>
              <w:rPr>
                <w:rFonts w:hint="eastAsia" w:hAnsi="等线" w:cs="等线"/>
                <w:b w:val="0"/>
                <w:bCs w:val="0"/>
                <w:sz w:val="20"/>
                <w:szCs w:val="20"/>
                <w:lang w:val="en-US" w:eastAsia="zh-CN" w:bidi="ar"/>
              </w:rPr>
              <w:t xml:space="preserve">昂丹司琼</w:t>
            </w:r>
          </w:p>
        </w:tc>
        <w:tc>
          <w:tcPr>
            <w:tcW w:w="2298"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cs="等线"/>
                <w:sz w:val="20"/>
                <w:szCs w:val="20"/>
                <w:lang w:bidi="ar"/>
              </w:rPr>
            </w:pPr>
            <w:r>
              <w:rPr>
                <w:rFonts w:hint="eastAsia" w:hAnsi="等线" w:cs="等线"/>
                <w:b w:val="0"/>
                <w:bCs w:val="0"/>
                <w:sz w:val="20"/>
                <w:szCs w:val="20"/>
                <w:lang w:val="en-US" w:eastAsia="zh-CN" w:bidi="ar"/>
              </w:rPr>
              <w:t xml:space="preserve">疗效较好</w:t>
            </w:r>
          </w:p>
        </w:tc>
        <w:tc>
          <w:tcPr>
            <w:tcW w:w="11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default" w:hAnsi="等线" w:cs="等线"/>
                <w:sz w:val="20"/>
                <w:szCs w:val="20"/>
                <w:lang w:val="en-US" w:eastAsia="zh-CN" w:bidi="ar"/>
              </w:rPr>
            </w:pPr>
            <w:r>
              <w:rPr>
                <w:rFonts w:hint="eastAsia" w:hAnsi="等线" w:cs="等线"/>
                <w:b w:val="0"/>
                <w:bCs w:val="0"/>
                <w:sz w:val="20"/>
                <w:szCs w:val="20"/>
                <w:lang w:val="en-US" w:eastAsia="zh-CN" w:bidi="ar"/>
              </w:rPr>
              <w:t xml:space="preserve">22</w:t>
            </w:r>
          </w:p>
        </w:tc>
        <w:tc>
          <w:tcPr>
            <w:tcW w:w="1435"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格拉司琼</w:t>
            </w:r>
          </w:p>
        </w:tc>
        <w:tc>
          <w:tcPr>
            <w:tcW w:w="2299" w:type="dxa"/>
            <w:gridSpan w:val="2"/>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疗效较好</w:t>
            </w:r>
          </w:p>
        </w:tc>
      </w:tr>
      <w:bookmarkEnd w:id="69"/>
    </w:tbl>
    <w:p>
      <w:pPr>
        <w:rPr>
          <w:rFonts w:hAnsi="等线"/>
          <w:szCs w:val="21"/>
        </w:rPr>
      </w:pPr>
    </w:p>
    <w:p>
      <w:pPr>
        <w:rPr>
          <w:rFonts w:hAnsi="等线"/>
          <w:szCs w:val="21"/>
        </w:rPr>
      </w:pPr>
    </w:p>
    <w:p>
      <w:pPr>
        <w:snapToGrid w:val="0"/>
        <w:spacing w:after="156" w:afterLines="50"/>
        <w:jc w:val="left"/>
        <w:rPr>
          <w:rFonts w:hAnsi="等线"/>
          <w:b/>
          <w:bCs/>
          <w:szCs w:val="21"/>
        </w:rPr>
      </w:pPr>
      <w:bookmarkStart w:id="70" w:name="_Hlk93490110"/>
      <w:r>
        <w:rPr>
          <w:rFonts w:hint="eastAsia" w:hAnsi="等线"/>
          <w:b/>
          <w:bCs/>
          <w:szCs w:val="21"/>
        </w:rPr>
        <w:t>说明：</w:t>
      </w:r>
    </w:p>
    <w:bookmarkEnd w:id="70"/>
    <w:p>
      <w:pPr>
        <w:snapToGrid w:val="0"/>
        <w:spacing w:line="300" w:lineRule="auto"/>
        <w:jc w:val="left"/>
        <w:rPr>
          <w:rFonts w:hAnsi="等线"/>
          <w:sz w:val="18"/>
          <w:szCs w:val="18"/>
        </w:rPr>
      </w:pPr>
      <w:r>
        <w:rPr>
          <w:rFonts w:hint="eastAsia" w:hAnsi="等线"/>
          <w:sz w:val="18"/>
          <w:szCs w:val="18"/>
        </w:rPr>
        <w:t>一种化疗药物的疗效或者毒副作用通常受多个基因的单核苷酸多态性（</w:t>
      </w:r>
      <w:r>
        <w:rPr>
          <w:rFonts w:hAnsi="等线"/>
          <w:sz w:val="18"/>
          <w:szCs w:val="18"/>
        </w:rPr>
        <w:t>SNP）的影响。化疗药物</w:t>
      </w:r>
      <w:r>
        <w:rPr>
          <w:rFonts w:hint="eastAsia" w:hAnsi="等线"/>
          <w:sz w:val="18"/>
          <w:szCs w:val="18"/>
        </w:rPr>
        <w:t>的使用综合考虑了其疗效和毒副作用</w:t>
      </w:r>
      <w:r>
        <w:rPr>
          <w:rFonts w:hint="eastAsia" w:hAnsi="等线" w:cs="Arial"/>
          <w:sz w:val="18"/>
          <w:szCs w:val="18"/>
        </w:rPr>
        <w:t>风险</w:t>
      </w:r>
      <w:r>
        <w:rPr>
          <w:rFonts w:hint="eastAsia" w:hAnsi="等线"/>
          <w:sz w:val="18"/>
          <w:szCs w:val="18"/>
        </w:rPr>
        <w:t>情况。某些化疗药物仅有疗效的研究结论或者仅有毒副作用</w:t>
      </w:r>
      <w:r>
        <w:rPr>
          <w:rFonts w:hint="eastAsia" w:hAnsi="等线" w:cs="Arial"/>
          <w:sz w:val="18"/>
          <w:szCs w:val="18"/>
        </w:rPr>
        <w:t>风险</w:t>
      </w:r>
      <w:r>
        <w:rPr>
          <w:rFonts w:hint="eastAsia" w:hAnsi="等线"/>
          <w:sz w:val="18"/>
          <w:szCs w:val="18"/>
        </w:rPr>
        <w:t>的研究结论，则以单一指标作为参考。针对本报告，可参考以下用药提示信息：</w:t>
      </w:r>
    </w:p>
    <w:p>
      <w:pPr>
        <w:pStyle w:val="38"/>
        <w:numPr>
          <w:ilvl w:val="0"/>
          <w:numId w:val="4"/>
        </w:numPr>
        <w:snapToGrid w:val="0"/>
        <w:spacing w:line="300" w:lineRule="auto"/>
        <w:ind w:firstLineChars="0"/>
        <w:jc w:val="left"/>
        <w:rPr>
          <w:rFonts w:hAnsi="等线"/>
          <w:sz w:val="18"/>
          <w:szCs w:val="18"/>
        </w:rPr>
      </w:pPr>
      <w:r>
        <w:rPr>
          <w:rFonts w:hAnsi="等线" w:cs="Arial"/>
          <w:sz w:val="18"/>
          <w:szCs w:val="18"/>
        </w:rPr>
        <w:t>推荐</w:t>
      </w:r>
      <w:r>
        <w:rPr>
          <w:rFonts w:hint="eastAsia" w:hAnsi="等线" w:cs="Arial"/>
          <w:sz w:val="18"/>
          <w:szCs w:val="18"/>
          <w:lang w:val="en-US" w:eastAsia="zh-CN"/>
        </w:rPr>
        <w:t>药物</w:t>
      </w:r>
      <w:r>
        <w:rPr>
          <w:rFonts w:hint="eastAsia" w:hAnsi="等线" w:cs="Arial"/>
          <w:sz w:val="18"/>
          <w:szCs w:val="18"/>
        </w:rPr>
        <w:t>：综合用药提示疗效较好且</w:t>
      </w:r>
      <w:r>
        <w:rPr>
          <w:rFonts w:hint="eastAsia" w:hAnsi="等线" w:cs="Arial"/>
          <w:sz w:val="18"/>
          <w:szCs w:val="18"/>
          <w:lang w:eastAsia="zh-CN"/>
        </w:rPr>
        <w:t>毒副</w:t>
      </w:r>
      <w:r>
        <w:rPr>
          <w:rFonts w:hint="eastAsia" w:hAnsi="等线" w:cs="Arial"/>
          <w:sz w:val="18"/>
          <w:szCs w:val="18"/>
        </w:rPr>
        <w:t>较低</w:t>
      </w:r>
      <w:r>
        <w:rPr>
          <w:rFonts w:hint="eastAsia" w:hAnsi="等线" w:cs="Arial"/>
          <w:sz w:val="18"/>
          <w:szCs w:val="18"/>
          <w:lang w:eastAsia="zh-CN"/>
        </w:rPr>
        <w:t>、</w:t>
      </w:r>
      <w:r>
        <w:rPr>
          <w:rFonts w:hint="eastAsia" w:hAnsi="等线" w:cs="Arial"/>
          <w:sz w:val="18"/>
          <w:szCs w:val="18"/>
        </w:rPr>
        <w:t>疗效较好且</w:t>
      </w:r>
      <w:r>
        <w:rPr>
          <w:rFonts w:hint="eastAsia" w:hAnsi="等线" w:cs="Arial"/>
          <w:sz w:val="18"/>
          <w:szCs w:val="18"/>
          <w:lang w:eastAsia="zh-CN"/>
        </w:rPr>
        <w:t>毒副一般</w:t>
      </w:r>
      <w:r>
        <w:rPr>
          <w:rFonts w:hint="eastAsia" w:hAnsi="等线" w:cs="Arial"/>
          <w:sz w:val="18"/>
          <w:szCs w:val="18"/>
        </w:rPr>
        <w:t>、疗效</w:t>
      </w:r>
      <w:r>
        <w:rPr>
          <w:rFonts w:hint="eastAsia" w:hAnsi="等线" w:cs="Arial"/>
          <w:sz w:val="18"/>
          <w:szCs w:val="18"/>
          <w:lang w:eastAsia="zh-CN"/>
        </w:rPr>
        <w:t>一般</w:t>
      </w:r>
      <w:r>
        <w:rPr>
          <w:rFonts w:hint="eastAsia" w:hAnsi="等线" w:cs="Arial"/>
          <w:sz w:val="18"/>
          <w:szCs w:val="18"/>
        </w:rPr>
        <w:t>且</w:t>
      </w:r>
      <w:r>
        <w:rPr>
          <w:rFonts w:hint="eastAsia" w:hAnsi="等线" w:cs="Arial"/>
          <w:sz w:val="18"/>
          <w:szCs w:val="18"/>
          <w:lang w:eastAsia="zh-CN"/>
        </w:rPr>
        <w:t>毒副</w:t>
      </w:r>
      <w:r>
        <w:rPr>
          <w:rFonts w:hint="eastAsia" w:hAnsi="等线" w:cs="Arial"/>
          <w:sz w:val="18"/>
          <w:szCs w:val="18"/>
        </w:rPr>
        <w:t>较低的化疗药物，以及单一用药提示疗效较好或</w:t>
      </w:r>
      <w:r>
        <w:rPr>
          <w:rFonts w:hint="eastAsia" w:hAnsi="等线" w:cs="Arial"/>
          <w:sz w:val="18"/>
          <w:szCs w:val="18"/>
          <w:lang w:eastAsia="zh-CN"/>
        </w:rPr>
        <w:t>毒副</w:t>
      </w:r>
      <w:r>
        <w:rPr>
          <w:rFonts w:hint="eastAsia" w:hAnsi="等线" w:cs="Arial"/>
          <w:sz w:val="18"/>
          <w:szCs w:val="18"/>
        </w:rPr>
        <w:t>较低的化疗药物。</w:t>
      </w:r>
    </w:p>
    <w:p>
      <w:pPr>
        <w:pStyle w:val="38"/>
        <w:numPr>
          <w:ilvl w:val="0"/>
          <w:numId w:val="4"/>
        </w:numPr>
        <w:snapToGrid w:val="0"/>
        <w:spacing w:line="300" w:lineRule="auto"/>
        <w:ind w:firstLineChars="0"/>
        <w:jc w:val="left"/>
        <w:rPr>
          <w:rFonts w:hAnsi="等线"/>
          <w:sz w:val="18"/>
          <w:szCs w:val="18"/>
        </w:rPr>
      </w:pPr>
      <w:r>
        <w:rPr>
          <w:rFonts w:hint="eastAsia" w:hAnsi="等线" w:cs="Arial"/>
          <w:sz w:val="18"/>
          <w:szCs w:val="18"/>
          <w:lang w:val="en-US" w:eastAsia="zh-CN"/>
        </w:rPr>
        <w:t>可选药物</w:t>
      </w:r>
      <w:r>
        <w:rPr>
          <w:rFonts w:hint="eastAsia" w:hAnsi="等线" w:cs="Arial"/>
          <w:sz w:val="18"/>
          <w:szCs w:val="18"/>
        </w:rPr>
        <w:t>：综合用药提示疗效较好但</w:t>
      </w:r>
      <w:r>
        <w:rPr>
          <w:rFonts w:hint="eastAsia" w:hAnsi="等线" w:cs="Arial"/>
          <w:sz w:val="18"/>
          <w:szCs w:val="18"/>
          <w:lang w:eastAsia="zh-CN"/>
        </w:rPr>
        <w:t>毒副</w:t>
      </w:r>
      <w:r>
        <w:rPr>
          <w:rFonts w:hint="eastAsia" w:hAnsi="等线" w:cs="Arial"/>
          <w:sz w:val="18"/>
          <w:szCs w:val="18"/>
        </w:rPr>
        <w:t>较高、疗效</w:t>
      </w:r>
      <w:r>
        <w:rPr>
          <w:rFonts w:hint="eastAsia" w:hAnsi="等线" w:cs="Arial"/>
          <w:sz w:val="18"/>
          <w:szCs w:val="18"/>
          <w:lang w:eastAsia="zh-CN"/>
        </w:rPr>
        <w:t>一般</w:t>
      </w:r>
      <w:r>
        <w:rPr>
          <w:rFonts w:hint="eastAsia" w:hAnsi="等线" w:cs="Arial"/>
          <w:sz w:val="18"/>
          <w:szCs w:val="18"/>
        </w:rPr>
        <w:t>且</w:t>
      </w:r>
      <w:r>
        <w:rPr>
          <w:rFonts w:hint="eastAsia" w:hAnsi="等线" w:cs="Arial"/>
          <w:sz w:val="18"/>
          <w:szCs w:val="18"/>
          <w:lang w:eastAsia="zh-CN"/>
        </w:rPr>
        <w:t>毒副一般</w:t>
      </w:r>
      <w:r>
        <w:rPr>
          <w:rFonts w:hint="eastAsia" w:hAnsi="等线" w:cs="Arial"/>
          <w:sz w:val="18"/>
          <w:szCs w:val="18"/>
        </w:rPr>
        <w:t>、疗效较差但</w:t>
      </w:r>
      <w:r>
        <w:rPr>
          <w:rFonts w:hint="eastAsia" w:hAnsi="等线" w:cs="Arial"/>
          <w:sz w:val="18"/>
          <w:szCs w:val="18"/>
          <w:lang w:eastAsia="zh-CN"/>
        </w:rPr>
        <w:t>毒副</w:t>
      </w:r>
      <w:r>
        <w:rPr>
          <w:rFonts w:hint="eastAsia" w:hAnsi="等线" w:cs="Arial"/>
          <w:sz w:val="18"/>
          <w:szCs w:val="18"/>
        </w:rPr>
        <w:t>较低的化疗药物，以及单一用药提示疗效</w:t>
      </w:r>
      <w:r>
        <w:rPr>
          <w:rFonts w:hint="eastAsia" w:hAnsi="等线" w:cs="Arial"/>
          <w:sz w:val="18"/>
          <w:szCs w:val="18"/>
          <w:lang w:eastAsia="zh-CN"/>
        </w:rPr>
        <w:t>一般</w:t>
      </w:r>
      <w:r>
        <w:rPr>
          <w:rFonts w:hint="eastAsia" w:hAnsi="等线" w:cs="Arial"/>
          <w:sz w:val="18"/>
          <w:szCs w:val="18"/>
        </w:rPr>
        <w:t>或</w:t>
      </w:r>
      <w:r>
        <w:rPr>
          <w:rFonts w:hint="eastAsia" w:hAnsi="等线" w:cs="Arial"/>
          <w:sz w:val="18"/>
          <w:szCs w:val="18"/>
          <w:lang w:eastAsia="zh-CN"/>
        </w:rPr>
        <w:t>毒副一般</w:t>
      </w:r>
      <w:r>
        <w:rPr>
          <w:rFonts w:hint="eastAsia" w:hAnsi="等线" w:cs="Arial"/>
          <w:sz w:val="18"/>
          <w:szCs w:val="18"/>
        </w:rPr>
        <w:t>的化疗药物。</w:t>
      </w:r>
    </w:p>
    <w:p>
      <w:pPr>
        <w:pStyle w:val="38"/>
        <w:numPr>
          <w:ilvl w:val="0"/>
          <w:numId w:val="4"/>
        </w:numPr>
        <w:snapToGrid w:val="0"/>
        <w:spacing w:line="300" w:lineRule="auto"/>
        <w:ind w:firstLineChars="0"/>
        <w:jc w:val="left"/>
        <w:rPr>
          <w:rFonts w:hAnsi="等线"/>
          <w:szCs w:val="21"/>
        </w:rPr>
      </w:pPr>
      <w:r>
        <w:rPr>
          <w:rFonts w:hint="eastAsia" w:hAnsi="等线" w:cs="Arial"/>
          <w:sz w:val="18"/>
          <w:szCs w:val="18"/>
          <w:lang w:val="en-US" w:eastAsia="zh-CN"/>
        </w:rPr>
        <w:t>慎用药物</w:t>
      </w:r>
      <w:r>
        <w:rPr>
          <w:rFonts w:hint="eastAsia" w:hAnsi="等线" w:cs="Arial"/>
          <w:sz w:val="18"/>
          <w:szCs w:val="18"/>
        </w:rPr>
        <w:t>：综合用药提示疗效</w:t>
      </w:r>
      <w:r>
        <w:rPr>
          <w:rFonts w:hint="eastAsia" w:hAnsi="等线" w:cs="Arial"/>
          <w:sz w:val="18"/>
          <w:szCs w:val="18"/>
          <w:lang w:eastAsia="zh-CN"/>
        </w:rPr>
        <w:t>一般</w:t>
      </w:r>
      <w:r>
        <w:rPr>
          <w:rFonts w:hint="eastAsia" w:hAnsi="等线" w:cs="Arial"/>
          <w:sz w:val="18"/>
          <w:szCs w:val="18"/>
        </w:rPr>
        <w:t>且</w:t>
      </w:r>
      <w:r>
        <w:rPr>
          <w:rFonts w:hint="eastAsia" w:hAnsi="等线" w:cs="Arial"/>
          <w:sz w:val="18"/>
          <w:szCs w:val="18"/>
          <w:lang w:eastAsia="zh-CN"/>
        </w:rPr>
        <w:t>毒副</w:t>
      </w:r>
      <w:r>
        <w:rPr>
          <w:rFonts w:hint="eastAsia" w:hAnsi="等线" w:cs="Arial"/>
          <w:sz w:val="18"/>
          <w:szCs w:val="18"/>
        </w:rPr>
        <w:t>较高、疗效较差且</w:t>
      </w:r>
      <w:r>
        <w:rPr>
          <w:rFonts w:hint="eastAsia" w:hAnsi="等线" w:cs="Arial"/>
          <w:sz w:val="18"/>
          <w:szCs w:val="18"/>
          <w:lang w:eastAsia="zh-CN"/>
        </w:rPr>
        <w:t>毒副一般、</w:t>
      </w:r>
      <w:r>
        <w:rPr>
          <w:rFonts w:hint="eastAsia" w:hAnsi="等线" w:cs="Arial"/>
          <w:sz w:val="18"/>
          <w:szCs w:val="18"/>
        </w:rPr>
        <w:t>疗效较差且</w:t>
      </w:r>
      <w:r>
        <w:rPr>
          <w:rFonts w:hint="eastAsia" w:hAnsi="等线" w:cs="Arial"/>
          <w:sz w:val="18"/>
          <w:szCs w:val="18"/>
          <w:lang w:eastAsia="zh-CN"/>
        </w:rPr>
        <w:t>毒副</w:t>
      </w:r>
      <w:r>
        <w:rPr>
          <w:rFonts w:hint="eastAsia" w:hAnsi="等线" w:cs="Arial"/>
          <w:sz w:val="18"/>
          <w:szCs w:val="18"/>
        </w:rPr>
        <w:t>较高的化疗药物，以及单一用药提示疗效较差或</w:t>
      </w:r>
      <w:r>
        <w:rPr>
          <w:rFonts w:hint="eastAsia" w:hAnsi="等线" w:cs="Arial"/>
          <w:sz w:val="18"/>
          <w:szCs w:val="18"/>
          <w:lang w:eastAsia="zh-CN"/>
        </w:rPr>
        <w:t>毒副</w:t>
      </w:r>
      <w:r>
        <w:rPr>
          <w:rFonts w:hint="eastAsia" w:hAnsi="等线" w:cs="Arial"/>
          <w:sz w:val="18"/>
          <w:szCs w:val="18"/>
        </w:rPr>
        <w:t>较高的化疗药物。</w:t>
      </w:r>
    </w:p>
    <w:p>
      <w:pPr>
        <w:pStyle w:val="38"/>
        <w:numPr>
          <w:ilvl w:val="0"/>
          <w:numId w:val="4"/>
        </w:numPr>
        <w:snapToGrid w:val="0"/>
        <w:spacing w:line="300" w:lineRule="auto"/>
        <w:ind w:firstLineChars="0"/>
        <w:jc w:val="left"/>
        <w:rPr>
          <w:rFonts w:hAnsi="等线" w:cs="Arial"/>
          <w:sz w:val="18"/>
          <w:szCs w:val="18"/>
        </w:rPr>
      </w:pPr>
      <w:r>
        <w:rPr>
          <w:rFonts w:hint="eastAsia" w:hAnsi="等线" w:cs="Arial"/>
          <w:sz w:val="18"/>
          <w:szCs w:val="18"/>
        </w:rPr>
        <w:t>对于有临床指南指导用药的化疗药物（如氟尿嘧啶等），综合用药提示以临床指南给出的用药建议为主要依据。</w:t>
      </w:r>
    </w:p>
    <w:p>
      <w:bookmarkStart w:id="71" w:name="化疗用药具体评估"/>
      <w:bookmarkEnd w:id="71"/>
    </w:p>
    <w:p/>
    <w:p/>
    <w:p>
      <w:pPr>
        <w:spacing w:line="360" w:lineRule="auto"/>
        <w:ind w:firstLine="840" w:firstLineChars="300"/>
        <w:jc w:val="left"/>
        <w:outlineLvl w:val="2"/>
        <w:rPr>
          <w:rFonts w:hAnsi="等线" w:cs="Arial"/>
          <w:b/>
          <w:bCs/>
          <w:color w:val="3FC0C1"/>
          <w:sz w:val="28"/>
          <w:szCs w:val="28"/>
        </w:rPr>
      </w:pPr>
      <w:r>
        <w:rPr>
          <w:rFonts w:hint="eastAsia" w:hAnsi="等线" w:cs="Arial"/>
          <w:b/>
          <w:bCs/>
          <w:color w:val="3FC0C1"/>
          <w:sz w:val="28"/>
          <w:szCs w:val="28"/>
        </w:rPr>
        <w:drawing>
          <wp:anchor distT="0" distB="0" distL="114300" distR="114300" simplePos="0" relativeHeight="251695104" behindDoc="0" locked="0" layoutInCell="1" allowOverlap="1">
            <wp:simplePos x="0" y="0"/>
            <wp:positionH relativeFrom="column">
              <wp:posOffset>175260</wp:posOffset>
            </wp:positionH>
            <wp:positionV relativeFrom="paragraph">
              <wp:posOffset>48895</wp:posOffset>
            </wp:positionV>
            <wp:extent cx="274955" cy="277495"/>
            <wp:effectExtent l="0" t="0" r="0" b="8255"/>
            <wp:wrapNone/>
            <wp:docPr id="1033" name="图片 27" descr="D:\解码\4x\资源 2@45.png资源 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D:\解码\4x\资源 2@45.png资源 2@45"/>
                    <pic:cNvPicPr>
                      <a:picLocks noChangeAspect="1"/>
                    </pic:cNvPicPr>
                  </pic:nvPicPr>
                  <pic:blipFill>
                    <a:blip r:embed="rId14">
                      <a:duotone>
                        <a:prstClr val="black"/>
                        <a:srgbClr val="F18E2D">
                          <a:tint val="45000"/>
                          <a:satMod val="400000"/>
                        </a:srgbClr>
                      </a:duotone>
                    </a:blip>
                    <a:srcRect/>
                    <a:stretch>
                      <a:fillRect/>
                    </a:stretch>
                  </pic:blipFill>
                  <pic:spPr>
                    <a:xfrm>
                      <a:off x="0" y="0"/>
                      <a:ext cx="274955" cy="277495"/>
                    </a:xfrm>
                    <a:prstGeom prst="rect">
                      <a:avLst/>
                    </a:prstGeom>
                  </pic:spPr>
                </pic:pic>
              </a:graphicData>
            </a:graphic>
          </wp:anchor>
        </w:drawing>
      </w:r>
      <w:r>
        <w:rPr>
          <w:rFonts w:hAnsi="等线" w:cs="Arial"/>
          <w:b/>
          <w:bCs/>
          <w:color w:val="F18E2D"/>
          <w:sz w:val="28"/>
          <w:szCs w:val="28"/>
        </w:rPr>
        <w:t>化疗用药</w:t>
      </w:r>
      <w:r>
        <w:rPr>
          <w:rFonts w:hint="eastAsia" w:hAnsi="等线" w:cs="Arial"/>
          <w:b/>
          <w:bCs/>
          <w:color w:val="F18E2D"/>
          <w:sz w:val="28"/>
          <w:szCs w:val="28"/>
        </w:rPr>
        <w:t>具体评估</w:t>
      </w:r>
    </w:p>
    <w:p/>
    <w:p>
      <w:pPr>
        <w:spacing w:line="360" w:lineRule="auto"/>
        <w:ind w:firstLine="420" w:firstLineChars="200"/>
        <w:jc w:val="left"/>
        <w:rPr>
          <w:rFonts w:hAnsi="等线" w:cs="Arial"/>
          <w:color w:val="000000"/>
          <w:szCs w:val="21"/>
        </w:rPr>
      </w:pPr>
      <w:r>
        <w:rPr>
          <w:rFonts w:hAnsi="等线" w:cs="Arial"/>
          <w:color w:val="000000"/>
          <w:szCs w:val="21"/>
        </w:rPr>
        <w:t>人群基因</w:t>
      </w:r>
      <w:r>
        <w:rPr>
          <w:rFonts w:hint="eastAsia" w:hAnsi="等线" w:cs="Arial"/>
          <w:color w:val="000000"/>
          <w:szCs w:val="21"/>
        </w:rPr>
        <w:t>位点</w:t>
      </w:r>
      <w:r>
        <w:rPr>
          <w:rFonts w:hAnsi="等线" w:cs="Arial"/>
          <w:color w:val="000000"/>
          <w:szCs w:val="21"/>
        </w:rPr>
        <w:t>多态性造成相关代谢蛋白功能差异，使化学治疗药物的有效性和毒副作用产生差异，因此进行多态性基因</w:t>
      </w:r>
      <w:r>
        <w:rPr>
          <w:rFonts w:hint="eastAsia" w:hAnsi="等线" w:cs="Arial"/>
          <w:color w:val="000000"/>
          <w:szCs w:val="21"/>
        </w:rPr>
        <w:t>位点</w:t>
      </w:r>
      <w:r>
        <w:rPr>
          <w:rFonts w:hAnsi="等线" w:cs="Arial"/>
          <w:color w:val="000000"/>
          <w:szCs w:val="21"/>
        </w:rPr>
        <w:t>检测可以为化疗用药提供参考。患者基因</w:t>
      </w:r>
      <w:r>
        <w:rPr>
          <w:rFonts w:hint="eastAsia" w:hAnsi="等线" w:cs="Arial"/>
          <w:color w:val="000000"/>
          <w:szCs w:val="21"/>
        </w:rPr>
        <w:t>位点</w:t>
      </w:r>
      <w:r>
        <w:rPr>
          <w:rFonts w:hAnsi="等线" w:cs="Arial"/>
          <w:color w:val="000000"/>
          <w:szCs w:val="21"/>
        </w:rPr>
        <w:t>多态性信息与化学治疗药物有效性和毒副作用</w:t>
      </w:r>
      <w:r>
        <w:rPr>
          <w:rFonts w:hint="eastAsia" w:hAnsi="等线" w:cs="Arial"/>
          <w:color w:val="000000"/>
          <w:szCs w:val="21"/>
        </w:rPr>
        <w:t>风险</w:t>
      </w:r>
      <w:r>
        <w:rPr>
          <w:rFonts w:hAnsi="等线" w:cs="Arial"/>
          <w:color w:val="000000"/>
          <w:szCs w:val="21"/>
        </w:rPr>
        <w:t>评估如下表所示。</w:t>
      </w:r>
    </w:p>
    <w:p>
      <w:pPr>
        <w:jc w:val="left"/>
        <w:rPr>
          <w:rFonts w:hAnsi="等线" w:cs="Arial"/>
          <w:color w:val="000000"/>
          <w:sz w:val="18"/>
          <w:szCs w:val="18"/>
        </w:rPr>
      </w:pPr>
    </w:p>
    <w:tbl>
      <w:tblPr>
        <w:tblStyle w:val="58"/>
        <w:tblW w:w="5000" w:type="pct"/>
        <w:tblInd w:w="0" w:type="dxa"/>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Layout w:type="fixed"/>
        <w:tblCellMar>
          <w:top w:w="0" w:type="dxa"/>
          <w:left w:w="108" w:type="dxa"/>
          <w:bottom w:w="0" w:type="dxa"/>
          <w:right w:w="108" w:type="dxa"/>
        </w:tblCellMar>
      </w:tblPr>
      <w:tblGrid>
        <w:gridCol w:w="1644"/>
        <w:gridCol w:w="1143"/>
        <w:gridCol w:w="1385"/>
        <w:gridCol w:w="1678"/>
        <w:gridCol w:w="1672"/>
        <w:gridCol w:w="2333"/>
      </w:tblGrid>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95" w:hRule="atLeast"/>
          <w:tblHeader/>
        </w:trPr>
        <w:tc>
          <w:tcPr>
            <w:tcW w:w="1673" w:type="dxa"/>
            <w:tcBorders>
              <w:top w:val="single" w:color="FFFFFF" w:sz="24" w:space="0"/>
              <w:left w:val="single" w:color="FFFFFF" w:sz="24" w:space="0"/>
              <w:bottom w:val="single" w:color="FFFFFF" w:sz="24" w:space="0"/>
              <w:right w:val="single" w:color="FFFFFF" w:sz="24" w:space="0"/>
              <w:insideV w:val="nil"/>
            </w:tcBorders>
            <w:shd w:val="clear" w:color="auto" w:fill="F18E2D"/>
            <w:vAlign w:val="center"/>
          </w:tcPr>
          <w:p>
            <w:pPr>
              <w:spacing w:line="360" w:lineRule="auto"/>
              <w:jc w:val="center"/>
              <w:rPr>
                <w:rFonts w:hAnsi="等线" w:cs="Arial"/>
                <w:b w:val="0"/>
                <w:bCs w:val="0"/>
                <w:color w:val="FFFFFF"/>
                <w:szCs w:val="21"/>
              </w:rPr>
            </w:pPr>
            <w:r>
              <w:rPr>
                <w:rFonts w:hAnsi="等线" w:cs="Arial"/>
                <w:b/>
                <w:bCs/>
                <w:color w:val="FFFFFF"/>
                <w:szCs w:val="21"/>
              </w:rPr>
              <w:t>药物</w:t>
            </w:r>
          </w:p>
        </w:tc>
        <w:tc>
          <w:tcPr>
            <w:tcW w:w="1162" w:type="dxa"/>
            <w:tcBorders>
              <w:top w:val="single" w:color="FFFFFF" w:sz="24" w:space="0"/>
              <w:left w:val="single" w:color="FFFFFF" w:sz="24" w:space="0"/>
              <w:bottom w:val="single" w:color="FFFFFF" w:sz="24" w:space="0"/>
              <w:right w:val="single" w:color="FFFFFF" w:sz="24" w:space="0"/>
              <w:insideV w:val="nil"/>
            </w:tcBorders>
            <w:shd w:val="clear" w:color="auto" w:fill="F18E2D"/>
            <w:vAlign w:val="center"/>
          </w:tcPr>
          <w:p>
            <w:pPr>
              <w:spacing w:line="360" w:lineRule="auto"/>
              <w:jc w:val="center"/>
              <w:rPr>
                <w:rFonts w:hAnsi="等线" w:cs="Arial"/>
                <w:b w:val="0"/>
                <w:bCs w:val="0"/>
                <w:color w:val="FFFFFF"/>
                <w:szCs w:val="21"/>
              </w:rPr>
            </w:pPr>
            <w:r>
              <w:rPr>
                <w:rFonts w:hAnsi="等线" w:cs="Arial"/>
                <w:b/>
                <w:bCs/>
                <w:color w:val="FFFFFF"/>
                <w:szCs w:val="21"/>
              </w:rPr>
              <w:t>检测</w:t>
            </w:r>
            <w:r>
              <w:rPr>
                <w:rFonts w:hint="eastAsia" w:hAnsi="等线" w:cs="Arial"/>
                <w:b/>
                <w:bCs/>
                <w:color w:val="FFFFFF"/>
                <w:szCs w:val="21"/>
              </w:rPr>
              <w:t>基因</w:t>
            </w:r>
          </w:p>
        </w:tc>
        <w:tc>
          <w:tcPr>
            <w:tcW w:w="1409" w:type="dxa"/>
            <w:tcBorders>
              <w:top w:val="single" w:color="FFFFFF" w:sz="24" w:space="0"/>
              <w:left w:val="single" w:color="FFFFFF" w:sz="24" w:space="0"/>
              <w:bottom w:val="single" w:color="FFFFFF" w:sz="24" w:space="0"/>
              <w:right w:val="single" w:color="FFFFFF" w:sz="24" w:space="0"/>
              <w:insideV w:val="nil"/>
            </w:tcBorders>
            <w:shd w:val="clear" w:color="auto" w:fill="F18E2D"/>
            <w:vAlign w:val="center"/>
          </w:tcPr>
          <w:p>
            <w:pPr>
              <w:spacing w:line="360" w:lineRule="auto"/>
              <w:jc w:val="center"/>
              <w:rPr>
                <w:rFonts w:hAnsi="等线" w:cs="Arial"/>
                <w:b w:val="0"/>
                <w:bCs w:val="0"/>
                <w:color w:val="FFFFFF"/>
                <w:szCs w:val="21"/>
              </w:rPr>
            </w:pPr>
            <w:r>
              <w:rPr>
                <w:rFonts w:hAnsi="等线" w:cs="Arial"/>
                <w:b/>
                <w:bCs/>
                <w:color w:val="FFFFFF"/>
                <w:szCs w:val="21"/>
              </w:rPr>
              <w:t>检测位点</w:t>
            </w:r>
          </w:p>
        </w:tc>
        <w:tc>
          <w:tcPr>
            <w:tcW w:w="1708" w:type="dxa"/>
            <w:tcBorders>
              <w:top w:val="single" w:color="FFFFFF" w:sz="24" w:space="0"/>
              <w:left w:val="single" w:color="FFFFFF" w:sz="24" w:space="0"/>
              <w:bottom w:val="single" w:color="FFFFFF" w:sz="24" w:space="0"/>
              <w:right w:val="single" w:color="FFFFFF" w:sz="24" w:space="0"/>
              <w:insideV w:val="nil"/>
            </w:tcBorders>
            <w:shd w:val="clear" w:color="auto" w:fill="F18E2D"/>
            <w:vAlign w:val="center"/>
          </w:tcPr>
          <w:p>
            <w:pPr>
              <w:spacing w:line="360" w:lineRule="auto"/>
              <w:jc w:val="center"/>
              <w:rPr>
                <w:rFonts w:hAnsi="等线" w:cs="Arial"/>
                <w:b w:val="0"/>
                <w:bCs w:val="0"/>
                <w:color w:val="FFFFFF"/>
                <w:szCs w:val="21"/>
              </w:rPr>
            </w:pPr>
            <w:r>
              <w:rPr>
                <w:rFonts w:hAnsi="等线" w:cs="Arial"/>
                <w:b/>
                <w:bCs/>
                <w:color w:val="FFFFFF"/>
                <w:szCs w:val="21"/>
              </w:rPr>
              <w:t>基因型</w:t>
            </w:r>
          </w:p>
        </w:tc>
        <w:tc>
          <w:tcPr>
            <w:tcW w:w="1702" w:type="dxa"/>
            <w:tcBorders>
              <w:top w:val="single" w:color="FFFFFF" w:sz="24" w:space="0"/>
              <w:left w:val="single" w:color="FFFFFF" w:sz="24" w:space="0"/>
              <w:bottom w:val="single" w:color="FFFFFF" w:sz="24" w:space="0"/>
              <w:right w:val="single" w:color="FFFFFF" w:sz="24" w:space="0"/>
              <w:insideV w:val="nil"/>
            </w:tcBorders>
            <w:shd w:val="clear" w:color="auto" w:fill="F18E2D"/>
            <w:vAlign w:val="center"/>
          </w:tcPr>
          <w:p>
            <w:pPr>
              <w:spacing w:line="360" w:lineRule="auto"/>
              <w:jc w:val="center"/>
              <w:rPr>
                <w:rFonts w:hAnsi="等线" w:cs="Arial"/>
                <w:b w:val="0"/>
                <w:bCs w:val="0"/>
                <w:color w:val="FFFFFF"/>
                <w:szCs w:val="21"/>
              </w:rPr>
            </w:pPr>
            <w:r>
              <w:rPr>
                <w:rFonts w:hAnsi="等线" w:cs="Arial"/>
                <w:b/>
                <w:bCs/>
                <w:color w:val="FFFFFF"/>
                <w:szCs w:val="21"/>
              </w:rPr>
              <w:t>证据等级</w:t>
            </w:r>
          </w:p>
        </w:tc>
        <w:tc>
          <w:tcPr>
            <w:tcW w:w="2375" w:type="dxa"/>
            <w:tcBorders>
              <w:top w:val="single" w:color="FFFFFF" w:sz="24" w:space="0"/>
              <w:left w:val="single" w:color="FFFFFF" w:sz="24" w:space="0"/>
              <w:bottom w:val="single" w:color="FFFFFF" w:sz="24" w:space="0"/>
              <w:right w:val="single" w:color="FFFFFF" w:sz="24" w:space="0"/>
              <w:insideV w:val="nil"/>
            </w:tcBorders>
            <w:shd w:val="clear" w:color="auto" w:fill="F18E2D"/>
            <w:vAlign w:val="center"/>
          </w:tcPr>
          <w:p>
            <w:pPr>
              <w:spacing w:line="360" w:lineRule="auto"/>
              <w:jc w:val="center"/>
              <w:rPr>
                <w:rFonts w:hAnsi="等线" w:cs="Arial"/>
                <w:b w:val="0"/>
                <w:bCs w:val="0"/>
                <w:color w:val="FFFFFF"/>
                <w:szCs w:val="21"/>
              </w:rPr>
            </w:pPr>
            <w:r>
              <w:rPr>
                <w:rFonts w:hAnsi="等线" w:cs="Arial"/>
                <w:b/>
                <w:bCs/>
                <w:color w:val="FFFFFF"/>
                <w:szCs w:val="21"/>
              </w:rPr>
              <w:t xml:space="preserve">用药提示</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丝裂霉素</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NQO1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rs1800566</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GG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疗效较好</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伊立替康</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UGT1A1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rs3064744</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TA[6]/TA[6]</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1A/1B</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UGT1A1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rs4148323</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GG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1A/1B</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依托泊苷</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DYNC2H1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rs716274</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AA</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卡培他滨</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rs115232898</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TT</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rs1801266</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GG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rs1801268</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CC</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rs55886062</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AA</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rs67376798</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TT</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rs72549303</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GG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rs72549309</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ATGA/ATGA</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rs75017182</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GG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rs3918290</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CC</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卡铂</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ERCC1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rs11615</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毒副较高</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XRCC1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rs25487</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CC</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2B</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疗效较好</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吉西他滨</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CDA</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rs2072671</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AA</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培美曲塞</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MTHFR</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rs1801133</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疗效较差</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TYMS</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rs11280056</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TTAAAG/del</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疗效较差</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多柔比星</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ABCB1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rs2032582</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AA</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疗效较好</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HAS3</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rs2232228</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AA</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毒副较高</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多西他赛</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CASP7</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rs2227310</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CC</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疗效较差</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CYP3A4</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rs2740574</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TT</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奥沙利铂</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XRCC1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rs25487</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CC</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2B</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疗效较好</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GSTP1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rs1695</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AA</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毒副较高</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ERCC2</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rs13181</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TT</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疗效较好</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ERCC1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rs11615</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毒副较高</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昂丹司琼</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ABCB1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rs2032582</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AA</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疗效较好</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ABCB1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rs1045642</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AA</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疗效较好</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替加氟</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rs67376798</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TT</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rs75017182</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GG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rs3918290</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CC</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rs55886062</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AA</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替吉奥</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rs3918290</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CC</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rs55886062</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AA</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rs67376798</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TT</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rs75017182</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GG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格拉司琼</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ABCB1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rs1045642</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AA</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疗效较好</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氟尿嘧啶</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rs72549303</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GG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TYMS</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rs11280056</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TTAAAG/del</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毒副较高</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NQO1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rs1800566</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GG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疗效较好</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rs72549309</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ATGA/ATGA</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rs1801266</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GG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rs1801268</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CC</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rs3918290</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CC</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GSTP1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rs1695</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AA</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毒副较高</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rs75017182</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GG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rs55886062</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AA</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rs67376798</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TT</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rs115232898</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TT</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环磷酰胺</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SOD2</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rs4880</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疗效居中</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GSTP1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rs1695</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AA</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疗效较好</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甲氨蝶呤</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MTHFR</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rs1801133</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2A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毒副居中</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紫杉醇</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CYP2C8</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rs11572080</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CC</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ABCB1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rs2032582</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AA</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疗效较好</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表柔比星</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NQO1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rs1800566</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GG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疗效较好</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GSTP1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rs1695</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AA</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毒副较低,疗效较好</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HAS3</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rs2232228</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AA</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毒副较高</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长春新碱</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ABCB1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rs1045642</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AA</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疗效较差</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长春瑞滨</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CASP7</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rs2227310</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CC</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疗效较差</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顺铂</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XRCC1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rs25487</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CC</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2B</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疗效较好</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XPC</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rs2228001</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TT</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TPMT</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rs1142345</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TT</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ERCC1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rs11615</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毒副较高</w:t>
            </w:r>
          </w:p>
        </w:tc>
      </w:tr>
    </w:tbl>
    <w:p>
      <w:pPr>
        <w:rPr>
          <w:rFonts w:hAnsi="等线"/>
        </w:rPr>
      </w:pPr>
    </w:p>
    <w:p>
      <w:pPr>
        <w:snapToGrid w:val="0"/>
        <w:spacing w:after="156" w:afterLines="50"/>
        <w:jc w:val="left"/>
        <w:rPr>
          <w:rFonts w:hAnsi="等线"/>
          <w:b/>
          <w:bCs/>
          <w:szCs w:val="21"/>
        </w:rPr>
      </w:pPr>
      <w:r>
        <w:rPr>
          <w:rFonts w:hint="eastAsia" w:hAnsi="等线"/>
          <w:b/>
          <w:bCs/>
          <w:szCs w:val="21"/>
        </w:rPr>
        <w:t>说明：</w:t>
      </w:r>
    </w:p>
    <w:p>
      <w:pPr>
        <w:pStyle w:val="38"/>
        <w:numPr>
          <w:ilvl w:val="0"/>
          <w:numId w:val="5"/>
        </w:numPr>
        <w:spacing w:line="360" w:lineRule="auto"/>
        <w:ind w:firstLineChars="0"/>
        <w:rPr>
          <w:rFonts w:hAnsi="等线"/>
          <w:sz w:val="18"/>
          <w:szCs w:val="18"/>
        </w:rPr>
      </w:pPr>
      <w:r>
        <w:rPr>
          <w:rFonts w:hint="eastAsia" w:hAnsi="等线"/>
          <w:sz w:val="18"/>
          <w:szCs w:val="18"/>
        </w:rPr>
        <w:t>基因名称均采用人类基因命名委员会（</w:t>
      </w:r>
      <w:r>
        <w:rPr>
          <w:rFonts w:hAnsi="等线"/>
          <w:sz w:val="18"/>
          <w:szCs w:val="18"/>
        </w:rPr>
        <w:t>HGNC）官方命名</w:t>
      </w:r>
      <w:r>
        <w:rPr>
          <w:rFonts w:hint="eastAsia" w:hAnsi="等线"/>
          <w:sz w:val="18"/>
          <w:szCs w:val="18"/>
        </w:rPr>
        <w:t>。</w:t>
      </w:r>
    </w:p>
    <w:p>
      <w:pPr>
        <w:pStyle w:val="38"/>
        <w:numPr>
          <w:ilvl w:val="0"/>
          <w:numId w:val="5"/>
        </w:numPr>
        <w:snapToGrid w:val="0"/>
        <w:spacing w:line="360" w:lineRule="auto"/>
        <w:ind w:firstLineChars="0"/>
        <w:jc w:val="left"/>
        <w:rPr>
          <w:rFonts w:hAnsi="等线"/>
          <w:sz w:val="18"/>
          <w:szCs w:val="18"/>
        </w:rPr>
      </w:pPr>
      <w:r>
        <w:rPr>
          <w:rFonts w:hint="eastAsia" w:hAnsi="等线" w:cs="Arial"/>
          <w:sz w:val="18"/>
          <w:szCs w:val="18"/>
        </w:rPr>
        <w:t>检测位点（rs</w:t>
      </w:r>
      <w:r>
        <w:rPr>
          <w:rFonts w:hAnsi="等线" w:cs="Arial"/>
          <w:sz w:val="18"/>
          <w:szCs w:val="18"/>
        </w:rPr>
        <w:t>号</w:t>
      </w:r>
      <w:r>
        <w:rPr>
          <w:rFonts w:hint="eastAsia" w:hAnsi="等线" w:cs="Arial"/>
          <w:sz w:val="18"/>
          <w:szCs w:val="18"/>
        </w:rPr>
        <w:t>）：NCBI里对所有提交的SNP进行分类考证之后都会给出一个rs号（也可称作参考SNP），并给出SNP的具体信息，包括前后序列、位置信息以及分布频率。</w:t>
      </w:r>
    </w:p>
    <w:p>
      <w:pPr>
        <w:pStyle w:val="38"/>
        <w:numPr>
          <w:ilvl w:val="0"/>
          <w:numId w:val="5"/>
        </w:numPr>
        <w:snapToGrid w:val="0"/>
        <w:spacing w:line="360" w:lineRule="auto"/>
        <w:ind w:firstLineChars="0"/>
        <w:jc w:val="left"/>
        <w:rPr>
          <w:rFonts w:hAnsi="等线"/>
          <w:sz w:val="18"/>
          <w:szCs w:val="18"/>
        </w:rPr>
      </w:pPr>
      <w:r>
        <w:rPr>
          <w:rFonts w:hint="eastAsia" w:hAnsi="等线"/>
          <w:sz w:val="18"/>
          <w:szCs w:val="18"/>
        </w:rPr>
        <w:t>证据等级（</w:t>
      </w:r>
      <w:r>
        <w:rPr>
          <w:rFonts w:hAnsi="等线"/>
          <w:sz w:val="18"/>
          <w:szCs w:val="18"/>
        </w:rPr>
        <w:t>Level</w:t>
      </w:r>
      <w:r>
        <w:rPr>
          <w:rFonts w:hint="eastAsia" w:hAnsi="等线"/>
          <w:sz w:val="18"/>
          <w:szCs w:val="18"/>
        </w:rPr>
        <w:t>）</w:t>
      </w:r>
      <w:r>
        <w:rPr>
          <w:rFonts w:hAnsi="等线"/>
          <w:sz w:val="18"/>
          <w:szCs w:val="18"/>
        </w:rPr>
        <w:t>的划分：依据PharmGKB</w:t>
      </w:r>
      <w:r>
        <w:rPr>
          <w:rFonts w:hint="eastAsia" w:hAnsi="等线"/>
          <w:sz w:val="18"/>
          <w:szCs w:val="18"/>
        </w:rPr>
        <w:t>数据库</w:t>
      </w:r>
      <w:r>
        <w:fldChar w:fldCharType="begin"/>
      </w:r>
      <w:r>
        <w:instrText xml:space="preserve"> HYPERLINK "http://www.pharmgkb.org/page/clinAnnLevels" </w:instrText>
      </w:r>
      <w:r>
        <w:fldChar w:fldCharType="separate"/>
      </w:r>
      <w:r>
        <w:rPr>
          <w:rStyle w:val="25"/>
          <w:rFonts w:hAnsi="等线"/>
          <w:sz w:val="18"/>
          <w:szCs w:val="18"/>
        </w:rPr>
        <w:t>http://www.pharmgkb.org/page/clinAnnLevels</w:t>
      </w:r>
      <w:r>
        <w:rPr>
          <w:rStyle w:val="25"/>
          <w:rFonts w:hAnsi="等线"/>
          <w:sz w:val="18"/>
          <w:szCs w:val="18"/>
        </w:rPr>
        <w:fldChar w:fldCharType="end"/>
      </w:r>
    </w:p>
    <w:p>
      <w:pPr>
        <w:pStyle w:val="38"/>
        <w:numPr>
          <w:ilvl w:val="1"/>
          <w:numId w:val="5"/>
        </w:numPr>
        <w:snapToGrid w:val="0"/>
        <w:spacing w:line="360" w:lineRule="auto"/>
        <w:ind w:firstLineChars="0"/>
        <w:jc w:val="left"/>
        <w:rPr>
          <w:rFonts w:hAnsi="等线"/>
          <w:sz w:val="18"/>
          <w:szCs w:val="18"/>
        </w:rPr>
      </w:pPr>
      <w:r>
        <w:rPr>
          <w:rFonts w:hAnsi="等线"/>
          <w:sz w:val="18"/>
          <w:szCs w:val="18"/>
        </w:rPr>
        <w:t>1A：注释基于被医学会认可的指南或经某些重大卫生系统认可的结论</w:t>
      </w:r>
      <w:r>
        <w:rPr>
          <w:rFonts w:hint="eastAsia" w:hAnsi="等线"/>
          <w:sz w:val="18"/>
          <w:szCs w:val="18"/>
        </w:rPr>
        <w:t>。</w:t>
      </w:r>
    </w:p>
    <w:p>
      <w:pPr>
        <w:pStyle w:val="38"/>
        <w:numPr>
          <w:ilvl w:val="1"/>
          <w:numId w:val="5"/>
        </w:numPr>
        <w:snapToGrid w:val="0"/>
        <w:spacing w:line="360" w:lineRule="auto"/>
        <w:ind w:firstLineChars="0"/>
        <w:jc w:val="left"/>
        <w:rPr>
          <w:rFonts w:hAnsi="等线"/>
          <w:sz w:val="18"/>
          <w:szCs w:val="18"/>
        </w:rPr>
      </w:pPr>
      <w:r>
        <w:rPr>
          <w:rFonts w:hAnsi="等线"/>
          <w:sz w:val="18"/>
          <w:szCs w:val="18"/>
        </w:rPr>
        <w:t>1B：注释基于多项有统计学显著性差异的研究</w:t>
      </w:r>
      <w:r>
        <w:rPr>
          <w:rFonts w:hint="eastAsia" w:hAnsi="等线"/>
          <w:sz w:val="18"/>
          <w:szCs w:val="18"/>
        </w:rPr>
        <w:t>。</w:t>
      </w:r>
    </w:p>
    <w:p>
      <w:pPr>
        <w:pStyle w:val="38"/>
        <w:numPr>
          <w:ilvl w:val="1"/>
          <w:numId w:val="5"/>
        </w:numPr>
        <w:snapToGrid w:val="0"/>
        <w:spacing w:line="360" w:lineRule="auto"/>
        <w:ind w:firstLineChars="0"/>
        <w:jc w:val="left"/>
        <w:rPr>
          <w:rFonts w:hAnsi="等线"/>
          <w:sz w:val="18"/>
          <w:szCs w:val="18"/>
        </w:rPr>
      </w:pPr>
      <w:r>
        <w:rPr>
          <w:rFonts w:hAnsi="等线"/>
          <w:sz w:val="18"/>
          <w:szCs w:val="18"/>
        </w:rPr>
        <w:t>2A：注释基于多项得到重复的研究，故药效关系很有可能是有意义的</w:t>
      </w:r>
      <w:r>
        <w:rPr>
          <w:rFonts w:hint="eastAsia" w:hAnsi="等线"/>
          <w:sz w:val="18"/>
          <w:szCs w:val="18"/>
        </w:rPr>
        <w:t>。</w:t>
      </w:r>
    </w:p>
    <w:p>
      <w:pPr>
        <w:pStyle w:val="38"/>
        <w:numPr>
          <w:ilvl w:val="1"/>
          <w:numId w:val="5"/>
        </w:numPr>
        <w:snapToGrid w:val="0"/>
        <w:spacing w:line="360" w:lineRule="auto"/>
        <w:ind w:firstLineChars="0"/>
        <w:jc w:val="left"/>
        <w:rPr>
          <w:rFonts w:hAnsi="等线"/>
          <w:sz w:val="18"/>
          <w:szCs w:val="18"/>
        </w:rPr>
      </w:pPr>
      <w:r>
        <w:rPr>
          <w:rFonts w:hAnsi="等线"/>
          <w:sz w:val="18"/>
          <w:szCs w:val="18"/>
        </w:rPr>
        <w:t>2B：注释基于多项得到重复的研究，但某些研究可能无显著性统计学差异或样本数量少</w:t>
      </w:r>
      <w:r>
        <w:rPr>
          <w:rFonts w:hint="eastAsia" w:hAnsi="等线"/>
          <w:sz w:val="18"/>
          <w:szCs w:val="18"/>
        </w:rPr>
        <w:t>。</w:t>
      </w:r>
    </w:p>
    <w:p>
      <w:pPr>
        <w:pStyle w:val="38"/>
        <w:numPr>
          <w:ilvl w:val="1"/>
          <w:numId w:val="5"/>
        </w:numPr>
        <w:snapToGrid w:val="0"/>
        <w:spacing w:line="360" w:lineRule="auto"/>
        <w:ind w:firstLineChars="0"/>
        <w:jc w:val="left"/>
        <w:rPr>
          <w:rFonts w:hAnsi="等线"/>
          <w:sz w:val="18"/>
          <w:szCs w:val="18"/>
        </w:rPr>
      </w:pPr>
      <w:r>
        <w:rPr>
          <w:rFonts w:hAnsi="等线"/>
          <w:sz w:val="18"/>
          <w:szCs w:val="18"/>
        </w:rPr>
        <w:t>3：注释仅基于1项有显著差异的研究(未得到重复)或缺乏明显药效关联性的多项研究</w:t>
      </w:r>
      <w:r>
        <w:rPr>
          <w:rFonts w:hint="eastAsia" w:hAnsi="等线"/>
          <w:sz w:val="18"/>
          <w:szCs w:val="18"/>
        </w:rPr>
        <w:t>。</w:t>
      </w:r>
    </w:p>
    <w:p>
      <w:pPr>
        <w:pStyle w:val="38"/>
        <w:numPr>
          <w:ilvl w:val="1"/>
          <w:numId w:val="5"/>
        </w:numPr>
        <w:snapToGrid w:val="0"/>
        <w:spacing w:line="360" w:lineRule="auto"/>
        <w:ind w:firstLineChars="0"/>
        <w:jc w:val="left"/>
        <w:rPr>
          <w:rFonts w:hAnsi="等线"/>
          <w:sz w:val="18"/>
          <w:szCs w:val="18"/>
        </w:rPr>
      </w:pPr>
      <w:r>
        <w:rPr>
          <w:rFonts w:hAnsi="等线"/>
          <w:sz w:val="18"/>
          <w:szCs w:val="18"/>
        </w:rPr>
        <w:t>4：注释仅基于少量病例、非权威研究或体外的分子功能研究</w:t>
      </w:r>
      <w:r>
        <w:rPr>
          <w:rFonts w:hint="eastAsia" w:hAnsi="等线"/>
          <w:sz w:val="18"/>
          <w:szCs w:val="18"/>
        </w:rPr>
        <w:t>。</w:t>
      </w:r>
    </w:p>
    <w:p>
      <w:pPr>
        <w:pStyle w:val="38"/>
        <w:numPr>
          <w:ilvl w:val="1"/>
          <w:numId w:val="5"/>
        </w:numPr>
        <w:snapToGrid w:val="0"/>
        <w:spacing w:line="360" w:lineRule="auto"/>
        <w:ind w:firstLineChars="0"/>
        <w:jc w:val="left"/>
        <w:rPr>
          <w:rFonts w:hAnsi="等线"/>
          <w:sz w:val="18"/>
          <w:szCs w:val="18"/>
        </w:rPr>
      </w:pPr>
      <w:r>
        <w:rPr>
          <w:rFonts w:hAnsi="等线"/>
          <w:sz w:val="18"/>
          <w:szCs w:val="18"/>
        </w:rPr>
        <w:t>NA：无等级划分</w:t>
      </w:r>
      <w:r>
        <w:rPr>
          <w:rFonts w:hint="eastAsia" w:hAnsi="等线"/>
          <w:sz w:val="18"/>
          <w:szCs w:val="18"/>
        </w:rPr>
        <w:t>。</w:t>
      </w:r>
    </w:p>
    <w:p>
      <w:pPr>
        <w:rPr>
          <w:rFonts w:hAnsi="等线"/>
          <w:sz w:val="18"/>
          <w:szCs w:val="18"/>
        </w:rPr>
      </w:pPr>
      <w:r>
        <w:rPr>
          <w:rFonts w:hint="eastAsia" w:hAnsi="等线"/>
          <w:sz w:val="18"/>
          <w:szCs w:val="18"/>
        </w:rPr>
        <w:br w:type="page"/>
      </w:r>
    </w:p>
    <w:p>
      <w:pPr>
        <w:adjustRightInd w:val="0"/>
        <w:snapToGrid w:val="0"/>
        <w:jc w:val="left"/>
        <w:outlineLvl w:val="1"/>
        <w:rPr>
          <w:rFonts w:hAnsi="等线" w:cs="Arial"/>
          <w:b/>
          <w:bCs/>
          <w:color w:val="00B0F0"/>
          <w:szCs w:val="28"/>
        </w:rPr>
      </w:pPr>
      <w:bookmarkStart w:id="72" w:name="遗传性结直肠癌基因检测结果"/>
      <w:bookmarkEnd w:id="72"/>
      <w:r>
        <mc:AlternateContent>
          <mc:Choice Requires="wps">
            <w:drawing>
              <wp:anchor distT="0" distB="0" distL="114300" distR="114300" simplePos="0" relativeHeight="251708416" behindDoc="0" locked="0" layoutInCell="1" allowOverlap="1">
                <wp:simplePos x="0" y="0"/>
                <wp:positionH relativeFrom="column">
                  <wp:posOffset>1197610</wp:posOffset>
                </wp:positionH>
                <wp:positionV relativeFrom="paragraph">
                  <wp:posOffset>-259715</wp:posOffset>
                </wp:positionV>
                <wp:extent cx="3909695" cy="636905"/>
                <wp:effectExtent l="0" t="0" r="0" b="0"/>
                <wp:wrapNone/>
                <wp:docPr id="1034" name="文本框 87"/>
                <wp:cNvGraphicFramePr/>
                <a:graphic xmlns:a="http://schemas.openxmlformats.org/drawingml/2006/main">
                  <a:graphicData uri="http://schemas.microsoft.com/office/word/2010/wordprocessingShape">
                    <wps:wsp>
                      <wps:cNvSpPr txBox="1"/>
                      <wps:spPr>
                        <a:xfrm>
                          <a:off x="0" y="0"/>
                          <a:ext cx="3909695" cy="63690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spacing w:before="340" w:line="360" w:lineRule="auto"/>
                              <w:jc w:val="center"/>
                              <w:outlineLvl w:val="1"/>
                              <w:rPr>
                                <w:rFonts w:hint="default" w:hAnsi="等线" w:eastAsia="等线" w:cs="Arial"/>
                                <w:b/>
                                <w:bCs/>
                                <w:color w:val="00B0F0"/>
                                <w:sz w:val="28"/>
                                <w:szCs w:val="28"/>
                                <w:lang w:val="en-US" w:eastAsia="zh-CN"/>
                              </w:rPr>
                            </w:pPr>
                            <w:r>
                              <w:rPr>
                                <w:rFonts w:hint="eastAsia" w:hAnsi="等线" w:cs="Arial"/>
                                <w:b/>
                                <w:bCs/>
                                <w:color w:val="3FC0C1"/>
                                <w:sz w:val="32"/>
                                <w:szCs w:val="32"/>
                              </w:rPr>
                              <w:t>遗传性</w:t>
                            </w:r>
                            <w:r>
                              <w:rPr>
                                <w:rFonts w:hint="eastAsia" w:hAnsi="等线" w:cs="Arial"/>
                                <w:b/>
                                <w:bCs/>
                                <w:color w:val="3FC0C1"/>
                                <w:sz w:val="32"/>
                                <w:szCs w:val="32"/>
                                <w:lang w:val="en-US" w:eastAsia="zh-CN"/>
                              </w:rPr>
                              <w:t>结直肠癌</w:t>
                            </w:r>
                            <w:r>
                              <w:rPr>
                                <w:rFonts w:hint="eastAsia" w:hAnsi="等线" w:cs="Arial"/>
                                <w:b/>
                                <w:bCs/>
                                <w:color w:val="3FC0C1"/>
                                <w:sz w:val="32"/>
                                <w:szCs w:val="32"/>
                              </w:rPr>
                              <w:t>基因检测结果</w:t>
                            </w:r>
                          </w:p>
                          <w:p>
                            <w:pPr>
                              <w:rPr>
                                <w:color w:val="000000" w:themeColor="text1"/>
                                <w14:textFill>
                                  <w14:solidFill>
                                    <w14:schemeClr w14:val="tx1"/>
                                  </w14:solidFill>
                                </w14:textFill>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87" o:spid="_x0000_s1026" o:spt="202" type="#_x0000_t202" style="position:absolute;left:0pt;margin-left:94.3pt;margin-top:-20.45pt;height:50.15pt;width:307.85pt;z-index:251708416;mso-width-relative:page;mso-height-relative:page;" filled="f" stroked="f" coordsize="21600,21600" o:gfxdata="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2Uffz9sAAAAKAQAADwAAAAAAAAABACAA&#10;AAAiAAAAZHJzL2Rvd25yZXYueG1sUEsBAhQAFAAAAAgAh07iQECRhmFDAgAAeAQAAA4AAAAAAAAA&#10;AQAgAAAAKgEAAGRycy9lMm9Eb2MueG1sUEsFBgAAAAAGAAYAWQEAAN8FAAAAAA==&#10;">
                <v:fill on="f" focussize="0,0"/>
                <v:stroke on="f" weight="0.5pt"/>
                <v:imagedata o:title=""/>
                <o:lock v:ext="edit" aspectratio="f"/>
                <v:textbox>
                  <w:txbxContent>
                    <w:p>
                      <w:pPr>
                        <w:spacing w:before="340" w:line="360" w:lineRule="auto"/>
                        <w:jc w:val="center"/>
                        <w:outlineLvl w:val="1"/>
                        <w:rPr>
                          <w:rFonts w:hint="default" w:hAnsi="等线" w:eastAsia="等线" w:cs="Arial"/>
                          <w:b/>
                          <w:bCs/>
                          <w:color w:val="00B0F0"/>
                          <w:sz w:val="28"/>
                          <w:szCs w:val="28"/>
                          <w:lang w:val="en-US" w:eastAsia="zh-CN"/>
                        </w:rPr>
                      </w:pPr>
                      <w:r>
                        <w:rPr>
                          <w:rFonts w:hint="eastAsia" w:hAnsi="等线" w:cs="Arial"/>
                          <w:b/>
                          <w:bCs/>
                          <w:color w:val="3FC0C1"/>
                          <w:sz w:val="32"/>
                          <w:szCs w:val="32"/>
                        </w:rPr>
                        <w:t>遗传性</w:t>
                      </w:r>
                      <w:r>
                        <w:rPr>
                          <w:rFonts w:hint="eastAsia" w:hAnsi="等线" w:cs="Arial"/>
                          <w:b/>
                          <w:bCs/>
                          <w:color w:val="3FC0C1"/>
                          <w:sz w:val="32"/>
                          <w:szCs w:val="32"/>
                          <w:lang w:val="en-US" w:eastAsia="zh-CN"/>
                        </w:rPr>
                        <w:t>结直肠癌</w:t>
                      </w:r>
                      <w:r>
                        <w:rPr>
                          <w:rFonts w:hint="eastAsia" w:hAnsi="等线" w:cs="Arial"/>
                          <w:b/>
                          <w:bCs/>
                          <w:color w:val="3FC0C1"/>
                          <w:sz w:val="32"/>
                          <w:szCs w:val="32"/>
                        </w:rPr>
                        <w:t>基因检测结果</w:t>
                      </w:r>
                    </w:p>
                    <w:p>
                      <w:pPr>
                        <w:rPr>
                          <w:color w:val="000000" w:themeColor="text1"/>
                          <w14:textFill>
                            <w14:solidFill>
                              <w14:schemeClr w14:val="tx1"/>
                            </w14:solidFill>
                          </w14:textFill>
                        </w:rPr>
                      </w:pPr>
                    </w:p>
                  </w:txbxContent>
                </v:textbox>
              </v:shape>
            </w:pict>
          </mc:Fallback>
        </mc:AlternateContent>
      </w:r>
      <w:r>
        <mc:AlternateContent>
          <mc:Choice Requires="wpg">
            <w:drawing>
              <wp:anchor distT="0" distB="0" distL="114300" distR="114300" simplePos="0" relativeHeight="251709440" behindDoc="0" locked="0" layoutInCell="1" allowOverlap="1">
                <wp:simplePos x="0" y="0"/>
                <wp:positionH relativeFrom="column">
                  <wp:posOffset>5715</wp:posOffset>
                </wp:positionH>
                <wp:positionV relativeFrom="paragraph">
                  <wp:posOffset>-12065</wp:posOffset>
                </wp:positionV>
                <wp:extent cx="6294120" cy="388620"/>
                <wp:effectExtent l="0" t="10795" r="0" b="12065"/>
                <wp:wrapNone/>
                <wp:docPr id="1035" name="组合 16"/>
                <wp:cNvGraphicFramePr/>
                <a:graphic xmlns:a="http://schemas.openxmlformats.org/drawingml/2006/main">
                  <a:graphicData uri="http://schemas.microsoft.com/office/word/2010/wordprocessingGroup">
                    <wpg:wgp>
                      <wpg:cNvGrpSpPr/>
                      <wpg:grpSpPr>
                        <a:xfrm>
                          <a:off x="0" y="0"/>
                          <a:ext cx="6294120" cy="388620"/>
                          <a:chOff x="2592" y="292680"/>
                          <a:chExt cx="9912" cy="612"/>
                        </a:xfrm>
                      </wpg:grpSpPr>
                      <wps:wsp>
                        <wps:cNvPr id="89" name="圆角矩形 57"/>
                        <wps:cNvSpPr/>
                        <wps:spPr>
                          <a:xfrm>
                            <a:off x="4368" y="292680"/>
                            <a:ext cx="6348" cy="612"/>
                          </a:xfrm>
                          <a:prstGeom prst="roundRect">
                            <a:avLst/>
                          </a:prstGeom>
                          <a:noFill/>
                          <a:ln w="22225" cap="flat" cmpd="sng" algn="ctr">
                            <a:solidFill>
                              <a:srgbClr val="3FC0C1"/>
                            </a:solidFill>
                            <a:prstDash val="solid"/>
                            <a:miter lim="800000"/>
                          </a:ln>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90" name="直接连接符 60"/>
                        <wps:cNvCnPr/>
                        <wps:spPr>
                          <a:xfrm flipH="1">
                            <a:off x="2592" y="292986"/>
                            <a:ext cx="1776" cy="0"/>
                          </a:xfrm>
                          <a:prstGeom prst="line">
                            <a:avLst/>
                          </a:prstGeom>
                          <a:noFill/>
                          <a:ln w="28575" cap="flat" cmpd="sng" algn="ctr">
                            <a:solidFill>
                              <a:srgbClr val="3FC0C1"/>
                            </a:solidFill>
                            <a:prstDash val="solid"/>
                            <a:miter lim="800000"/>
                          </a:ln>
                          <a:effectLst/>
                        </wps:spPr>
                        <wps:style>
                          <a:lnRef idx="1">
                            <a:schemeClr val="accent1"/>
                          </a:lnRef>
                          <a:fillRef idx="0">
                            <a:schemeClr val="accent1"/>
                          </a:fillRef>
                          <a:effectRef idx="0">
                            <a:schemeClr val="accent1"/>
                          </a:effectRef>
                          <a:fontRef idx="minor">
                            <a:schemeClr val="tx1"/>
                          </a:fontRef>
                        </wps:style>
                        <wps:bodyPr/>
                      </wps:wsp>
                      <wps:wsp>
                        <wps:cNvPr id="91" name="直接连接符 61"/>
                        <wps:cNvCnPr/>
                        <wps:spPr>
                          <a:xfrm flipH="1">
                            <a:off x="10728" y="292962"/>
                            <a:ext cx="1776" cy="0"/>
                          </a:xfrm>
                          <a:prstGeom prst="line">
                            <a:avLst/>
                          </a:prstGeom>
                          <a:noFill/>
                          <a:ln w="28575" cap="flat" cmpd="sng" algn="ctr">
                            <a:solidFill>
                              <a:srgbClr val="3FC0C1"/>
                            </a:solidFill>
                            <a:prstDash val="solid"/>
                            <a:miter lim="800000"/>
                          </a:ln>
                          <a:effectLst/>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id="组合 16" o:spid="_x0000_s1026" o:spt="203" style="position:absolute;left:0pt;margin-left:0.45pt;margin-top:-0.95pt;height:30.6pt;width:495.6pt;z-index:251709440;mso-width-relative:page;mso-height-relative:page;" coordorigin="2592,292680" coordsize="9912,612" o:gfxdata="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">
                <o:lock v:ext="edit" aspectratio="f"/>
                <v:roundrect id="圆角矩形 57" o:spid="_x0000_s1026" o:spt="2" style="position:absolute;left:4368;top:292680;height:612;width:6348;v-text-anchor:middle;" filled="f" stroked="t" coordsize="21600,21600" arcsize="0.166666666666667" o:gfxdata="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YOCPJugAAANsA&#10;AAAPAAAAAAAAAAEAIAAAACIAAABkcnMvZG93bnJldi54bWxQSwECFAAUAAAACACHTuJAMy8FnjsA&#10;AAA5AAAAEAAAAAAAAAABACAAAAAJAQAAZHJzL3NoYXBleG1sLnhtbFBLBQYAAAAABgAGAFsBAACz&#10;AwAAAAA=&#10;">
                  <v:fill on="f" focussize="0,0"/>
                  <v:stroke weight="1.75pt" color="#3FC0C1 [3204]" miterlimit="8" joinstyle="miter"/>
                  <v:imagedata o:title=""/>
                  <o:lock v:ext="edit" aspectratio="f"/>
                </v:roundrect>
                <v:line id="直接连接符 60" o:spid="_x0000_s1026" o:spt="20" style="position:absolute;left:2592;top:292986;flip:x;height:0;width:1776;" filled="f" stroked="t" coordsize="21600,21600" o:gfxdata="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PMAv7vQAA&#10;ANsAAAAPAAAAAAAAAAEAIAAAACIAAABkcnMvZG93bnJldi54bWxQSwECFAAUAAAACACHTuJAMy8F&#10;njsAAAA5AAAAEAAAAAAAAAABACAAAAAMAQAAZHJzL3NoYXBleG1sLnhtbFBLBQYAAAAABgAGAFsB&#10;AAC2AwAAAAA=&#10;">
                  <v:fill on="f" focussize="0,0"/>
                  <v:stroke weight="2.25pt" color="#3FC0C1 [3204]" miterlimit="8" joinstyle="miter"/>
                  <v:imagedata o:title=""/>
                  <o:lock v:ext="edit" aspectratio="f"/>
                </v:line>
                <v:line id="直接连接符 61" o:spid="_x0000_s1026" o:spt="20" style="position:absolute;left:10728;top:292962;flip:x;height:0;width:1776;" filled="f" stroked="t" coordsize="21600,21600" o:gfxdata="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B8rmC/&#10;AAAA2wAAAA8AAAAAAAAAAQAgAAAAIgAAAGRycy9kb3ducmV2LnhtbFBLAQIUABQAAAAIAIdO4kAz&#10;LwWeOwAAADkAAAAQAAAAAAAAAAEAIAAAAA4BAABkcnMvc2hhcGV4bWwueG1sUEsFBgAAAAAGAAYA&#10;WwEAALgDAAAAAA==&#10;">
                  <v:fill on="f" focussize="0,0"/>
                  <v:stroke weight="2.25pt" color="#3FC0C1 [3204]" miterlimit="8" joinstyle="miter"/>
                  <v:imagedata o:title=""/>
                  <o:lock v:ext="edit" aspectratio="f"/>
                </v:line>
              </v:group>
            </w:pict>
          </mc:Fallback>
        </mc:AlternateContent>
      </w:r>
    </w:p>
    <w:p/>
    <w:p/>
    <w:p>
      <w:pPr>
        <w:keepNext w:val="0"/>
        <w:keepLines w:val="0"/>
        <w:pageBreakBefore w:val="0"/>
        <w:widowControl w:val="0"/>
        <w:kinsoku/>
        <w:wordWrap/>
        <w:overflowPunct/>
        <w:topLinePunct w:val="0"/>
        <w:autoSpaceDE/>
        <w:autoSpaceDN/>
        <w:bidi w:val="0"/>
        <w:adjustRightInd/>
        <w:snapToGrid/>
        <w:spacing w:line="360" w:lineRule="auto"/>
        <w:ind w:firstLine="840" w:firstLineChars="300"/>
        <w:jc w:val="left"/>
        <w:textAlignment w:val="auto"/>
        <w:outlineLvl w:val="2"/>
        <w:rPr>
          <w:rFonts w:hAnsi="等线" w:cs="Arial"/>
          <w:b/>
          <w:bCs/>
          <w:color w:val="3FC0C1"/>
          <w:sz w:val="24"/>
          <w:szCs w:val="24"/>
        </w:rPr>
      </w:pPr>
      <w:bookmarkStart w:id="73" w:name="_Toc89103158"/>
      <w:r>
        <w:rPr>
          <w:rFonts w:hint="eastAsia" w:hAnsi="等线" w:cs="Arial"/>
          <w:b/>
          <w:bCs/>
          <w:color w:val="0070C0"/>
          <w:sz w:val="28"/>
          <w:szCs w:val="28"/>
        </w:rPr>
        <w:drawing>
          <wp:anchor distT="0" distB="0" distL="114300" distR="114300" simplePos="0" relativeHeight="251707392" behindDoc="0" locked="0" layoutInCell="1" allowOverlap="1">
            <wp:simplePos x="0" y="0"/>
            <wp:positionH relativeFrom="column">
              <wp:posOffset>158115</wp:posOffset>
            </wp:positionH>
            <wp:positionV relativeFrom="paragraph">
              <wp:posOffset>37465</wp:posOffset>
            </wp:positionV>
            <wp:extent cx="277495" cy="259715"/>
            <wp:effectExtent l="0" t="0" r="12065" b="14605"/>
            <wp:wrapNone/>
            <wp:docPr id="1036" name="图片 35" descr="资源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1" name="图片 35" descr="资源 1@41"/>
                    <pic:cNvPicPr>
                      <a:picLocks noChangeAspect="1"/>
                    </pic:cNvPicPr>
                  </pic:nvPicPr>
                  <pic:blipFill>
                    <a:blip r:embed="rId15"/>
                    <a:stretch>
                      <a:fillRect/>
                    </a:stretch>
                  </pic:blipFill>
                  <pic:spPr>
                    <a:xfrm>
                      <a:off x="0" y="0"/>
                      <a:ext cx="277495" cy="259715"/>
                    </a:xfrm>
                    <a:prstGeom prst="rect">
                      <a:avLst/>
                    </a:prstGeom>
                  </pic:spPr>
                </pic:pic>
              </a:graphicData>
            </a:graphic>
          </wp:anchor>
        </w:drawing>
      </w:r>
      <w:r>
        <w:rPr>
          <w:rFonts w:hint="eastAsia" w:hAnsi="等线" w:cs="Arial"/>
          <w:b/>
          <w:bCs/>
          <w:color w:val="3FC0C1"/>
          <w:sz w:val="28"/>
          <w:szCs w:val="28"/>
        </w:rPr>
        <w:t>遗传性</w:t>
      </w:r>
      <w:r>
        <w:rPr>
          <w:rFonts w:hint="eastAsia" w:hAnsi="等线" w:cs="Arial"/>
          <w:b/>
          <w:bCs/>
          <w:color w:val="3FC0C1"/>
          <w:sz w:val="28"/>
          <w:szCs w:val="28"/>
          <w:lang w:val="en-US" w:eastAsia="zh-CN"/>
        </w:rPr>
        <w:t>结直肠癌</w:t>
      </w:r>
      <w:r>
        <w:rPr>
          <w:rFonts w:hint="eastAsia" w:hAnsi="等线" w:cs="Arial"/>
          <w:b/>
          <w:bCs/>
          <w:color w:val="3FC0C1"/>
          <w:sz w:val="28"/>
          <w:szCs w:val="28"/>
        </w:rPr>
        <w:t>基因检测结果</w:t>
      </w:r>
      <w:bookmarkEnd w:id="73"/>
    </w:p>
    <w:tbl>
      <w:tblPr>
        <w:tblStyle w:val="58"/>
        <w:tblW w:w="5000" w:type="pct"/>
        <w:jc w:val="center"/>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Layout w:type="fixed"/>
        <w:tblCellMar>
          <w:top w:w="0" w:type="dxa"/>
          <w:left w:w="108" w:type="dxa"/>
          <w:bottom w:w="0" w:type="dxa"/>
          <w:right w:w="108" w:type="dxa"/>
        </w:tblCellMar>
      </w:tblPr>
      <w:tblGrid>
        <w:gridCol w:w="1131"/>
        <w:gridCol w:w="3506"/>
        <w:gridCol w:w="1467"/>
        <w:gridCol w:w="1322"/>
        <w:gridCol w:w="2429"/>
      </w:tblGrid>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95" w:hRule="atLeast"/>
          <w:tblHeader/>
          <w:jc w:val="center"/>
        </w:trPr>
        <w:tc>
          <w:tcPr>
            <w:tcW w:w="1150" w:type="dxa"/>
            <w:tcBorders>
              <w:top w:val="single" w:color="FFFFFF" w:sz="24" w:space="0"/>
              <w:left w:val="single" w:color="FFFFFF" w:sz="24" w:space="0"/>
              <w:bottom w:val="single" w:color="FFFFFF" w:sz="24" w:space="0"/>
              <w:right w:val="nil"/>
              <w:insideV w:val="nil"/>
            </w:tcBorders>
            <w:shd w:val="clear" w:color="auto" w:fill="3FC0C1"/>
            <w:vAlign w:val="center"/>
          </w:tcPr>
          <w:p>
            <w:pPr>
              <w:widowControl/>
              <w:spacing w:line="360" w:lineRule="auto"/>
              <w:jc w:val="center"/>
              <w:rPr>
                <w:rFonts w:hAnsi="等线" w:cs="等线"/>
                <w:b/>
                <w:bCs/>
                <w:color w:val="FFFFFF"/>
                <w:szCs w:val="21"/>
              </w:rPr>
            </w:pPr>
            <w:r>
              <w:rPr>
                <w:rFonts w:hint="eastAsia" w:hAnsi="等线" w:cs="等线"/>
                <w:b/>
                <w:bCs/>
                <w:color w:val="FFFFFF"/>
                <w:szCs w:val="21"/>
              </w:rPr>
              <w:t>基因</w:t>
            </w:r>
          </w:p>
        </w:tc>
        <w:tc>
          <w:tcPr>
            <w:tcW w:w="3572" w:type="dxa"/>
            <w:tcBorders>
              <w:top w:val="single" w:color="FFFFFF" w:sz="24" w:space="0"/>
              <w:left w:val="single" w:color="FFFFFF" w:sz="24" w:space="0"/>
              <w:bottom w:val="single" w:color="FFFFFF" w:sz="24" w:space="0"/>
              <w:right w:val="nil"/>
              <w:insideV w:val="nil"/>
            </w:tcBorders>
            <w:shd w:val="clear" w:color="auto" w:fill="3FC0C1"/>
            <w:vAlign w:val="center"/>
          </w:tcPr>
          <w:p>
            <w:pPr>
              <w:widowControl/>
              <w:spacing w:line="360" w:lineRule="auto"/>
              <w:jc w:val="center"/>
              <w:rPr>
                <w:rFonts w:hAnsi="等线" w:cs="等线"/>
                <w:b w:val="0"/>
                <w:bCs w:val="0"/>
                <w:color w:val="FFFFFF"/>
                <w:szCs w:val="21"/>
              </w:rPr>
            </w:pPr>
            <w:r>
              <w:rPr>
                <w:rFonts w:hint="eastAsia" w:hAnsi="等线" w:cs="等线"/>
                <w:b/>
                <w:bCs/>
                <w:color w:val="FFFFFF"/>
                <w:szCs w:val="21"/>
              </w:rPr>
              <w:t>表型</w:t>
            </w:r>
          </w:p>
        </w:tc>
        <w:tc>
          <w:tcPr>
            <w:tcW w:w="1492" w:type="dxa"/>
            <w:tcBorders>
              <w:top w:val="single" w:color="FFFFFF" w:sz="24" w:space="0"/>
              <w:left w:val="single" w:color="FFFFFF" w:sz="24" w:space="0"/>
              <w:bottom w:val="single" w:color="FFFFFF" w:sz="24" w:space="0"/>
              <w:right w:val="nil"/>
              <w:insideV w:val="nil"/>
            </w:tcBorders>
            <w:shd w:val="clear" w:color="auto" w:fill="3FC0C1"/>
            <w:vAlign w:val="center"/>
          </w:tcPr>
          <w:p>
            <w:pPr>
              <w:widowControl/>
              <w:spacing w:line="360" w:lineRule="auto"/>
              <w:jc w:val="center"/>
              <w:rPr>
                <w:rFonts w:hAnsi="等线" w:cs="等线"/>
                <w:b/>
                <w:bCs/>
                <w:color w:val="FFFFFF"/>
                <w:szCs w:val="21"/>
              </w:rPr>
            </w:pPr>
            <w:r>
              <w:rPr>
                <w:rFonts w:hint="eastAsia" w:hAnsi="等线" w:cs="等线"/>
                <w:b/>
                <w:bCs/>
                <w:color w:val="FFFFFF"/>
                <w:szCs w:val="21"/>
              </w:rPr>
              <w:t>遗传方式</w:t>
            </w:r>
          </w:p>
        </w:tc>
        <w:tc>
          <w:tcPr>
            <w:tcW w:w="1344" w:type="dxa"/>
            <w:tcBorders>
              <w:top w:val="single" w:color="FFFFFF" w:sz="24" w:space="0"/>
              <w:left w:val="single" w:color="FFFFFF" w:sz="24" w:space="0"/>
              <w:bottom w:val="single" w:color="FFFFFF" w:sz="24" w:space="0"/>
              <w:right w:val="nil"/>
              <w:insideV w:val="nil"/>
            </w:tcBorders>
            <w:shd w:val="clear" w:color="auto" w:fill="3FC0C1"/>
            <w:vAlign w:val="center"/>
          </w:tcPr>
          <w:p>
            <w:pPr>
              <w:widowControl/>
              <w:spacing w:line="360" w:lineRule="auto"/>
              <w:jc w:val="center"/>
              <w:rPr>
                <w:rFonts w:hAnsi="等线" w:cs="等线"/>
                <w:b/>
                <w:bCs/>
                <w:color w:val="FFFFFF"/>
                <w:szCs w:val="21"/>
              </w:rPr>
            </w:pPr>
            <w:r>
              <w:rPr>
                <w:rFonts w:hint="eastAsia" w:hAnsi="等线" w:cs="等线"/>
                <w:b/>
                <w:bCs/>
                <w:color w:val="FFFFFF"/>
                <w:szCs w:val="21"/>
              </w:rPr>
              <w:t>杂合/纯合</w:t>
            </w:r>
          </w:p>
        </w:tc>
        <w:tc>
          <w:tcPr>
            <w:tcW w:w="2473" w:type="dxa"/>
            <w:tcBorders>
              <w:top w:val="single" w:color="FFFFFF" w:sz="24" w:space="0"/>
              <w:left w:val="single" w:color="FFFFFF" w:sz="24" w:space="0"/>
              <w:bottom w:val="single" w:color="FFFFFF" w:sz="24" w:space="0"/>
              <w:right w:val="single" w:color="FFFFFF" w:sz="24" w:space="0"/>
              <w:insideV w:val="nil"/>
            </w:tcBorders>
            <w:shd w:val="clear" w:color="auto" w:fill="3FC0C1"/>
            <w:vAlign w:val="center"/>
          </w:tcPr>
          <w:p>
            <w:pPr>
              <w:widowControl/>
              <w:spacing w:line="360" w:lineRule="auto"/>
              <w:jc w:val="center"/>
              <w:rPr>
                <w:rFonts w:hAnsi="等线" w:cs="等线"/>
                <w:b/>
                <w:bCs/>
                <w:color w:val="FFFFFF"/>
                <w:szCs w:val="21"/>
              </w:rPr>
            </w:pPr>
            <w:r>
              <w:rPr>
                <w:rFonts w:hint="eastAsia" w:hAnsi="等线" w:cs="等线"/>
                <w:b/>
                <w:bCs/>
                <w:color w:val="FFFFFF"/>
                <w:szCs w:val="21"/>
              </w:rPr>
              <w:t>检测结果</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150"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int="eastAsia" w:hAnsi="等线" w:eastAsia="等线" w:cs="等线"/>
                <w:b w:val="0"/>
                <w:bCs w:val="0"/>
                <w:sz w:val="20"/>
                <w:szCs w:val="20"/>
                <w:lang w:eastAsia="zh-CN"/>
              </w:rPr>
            </w:pPr>
            <w:r>
              <w:rPr>
                <w:rFonts w:hint="eastAsia" w:hAnsi="等线" w:cs="等线"/>
                <w:b w:val="0"/>
                <w:bCs w:val="0"/>
                <w:sz w:val="20"/>
                <w:szCs w:val="20"/>
                <w:lang w:val="en-US" w:eastAsia="zh-CN" w:bidi="ar"/>
              </w:rPr>
              <w:t xml:space="preserve">TP53</w:t>
            </w:r>
          </w:p>
        </w:tc>
        <w:tc>
          <w:tcPr>
            <w:tcW w:w="3572"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Li-Fraumeni综合征</w:t>
            </w:r>
          </w:p>
        </w:tc>
        <w:tc>
          <w:tcPr>
            <w:tcW w:w="1492"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AD</w:t>
            </w:r>
          </w:p>
        </w:tc>
        <w:tc>
          <w:tcPr>
            <w:tcW w:w="134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杂合</w:t>
            </w:r>
          </w:p>
        </w:tc>
        <w:tc>
          <w:tcPr>
            <w:tcW w:w="2473"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p.V73Rfs*76</w:t>
            </w:r>
          </w:p>
        </w:tc>
      </w:tr>
    </w:tbl>
    <w:p>
      <w:pPr>
        <w:keepNext w:val="0"/>
        <w:keepLines w:val="0"/>
        <w:pageBreakBefore w:val="0"/>
        <w:widowControl w:val="0"/>
        <w:kinsoku/>
        <w:wordWrap/>
        <w:overflowPunct/>
        <w:topLinePunct w:val="0"/>
        <w:autoSpaceDE/>
        <w:autoSpaceDN/>
        <w:bidi w:val="0"/>
        <w:adjustRightInd/>
        <w:snapToGrid w:val="0"/>
        <w:spacing w:before="157" w:beforeLines="50" w:after="156" w:afterLines="50"/>
        <w:jc w:val="left"/>
        <w:textAlignment w:val="auto"/>
        <w:rPr>
          <w:rFonts w:hAnsi="等线"/>
          <w:b/>
          <w:bCs/>
          <w:szCs w:val="21"/>
        </w:rPr>
      </w:pPr>
      <w:r>
        <w:rPr>
          <w:rFonts w:hint="eastAsia" w:hAnsi="等线"/>
          <w:b/>
          <w:bCs/>
          <w:szCs w:val="21"/>
        </w:rPr>
        <w:t>说明：</w:t>
      </w:r>
    </w:p>
    <w:p>
      <w:pPr>
        <w:pStyle w:val="38"/>
        <w:numPr>
          <w:ilvl w:val="0"/>
          <w:numId w:val="6"/>
        </w:numPr>
        <w:snapToGrid w:val="0"/>
        <w:spacing w:line="360" w:lineRule="auto"/>
        <w:ind w:firstLineChars="0"/>
        <w:jc w:val="left"/>
        <w:rPr>
          <w:rFonts w:hAnsi="等线"/>
          <w:sz w:val="18"/>
          <w:szCs w:val="18"/>
        </w:rPr>
      </w:pPr>
      <w:r>
        <w:rPr>
          <w:rFonts w:hint="eastAsia" w:hAnsi="等线" w:cs="Arial"/>
          <w:sz w:val="18"/>
          <w:szCs w:val="18"/>
        </w:rPr>
        <w:t>胚系</w:t>
      </w:r>
      <w:r>
        <w:rPr>
          <w:rFonts w:hint="eastAsia" w:hAnsi="等线" w:cs="Arial"/>
          <w:sz w:val="18"/>
          <w:szCs w:val="18"/>
          <w:lang w:eastAsia="zh-CN"/>
        </w:rPr>
        <w:t>变异</w:t>
      </w:r>
      <w:r>
        <w:rPr>
          <w:rFonts w:hint="eastAsia" w:hAnsi="等线" w:cs="Arial"/>
          <w:sz w:val="18"/>
          <w:szCs w:val="18"/>
        </w:rPr>
        <w:t>是指在胚胎发育时已经携带的</w:t>
      </w:r>
      <w:r>
        <w:rPr>
          <w:rFonts w:hint="eastAsia" w:hAnsi="等线" w:cs="Arial"/>
          <w:sz w:val="18"/>
          <w:szCs w:val="18"/>
          <w:lang w:eastAsia="zh-CN"/>
        </w:rPr>
        <w:t>变异</w:t>
      </w:r>
      <w:r>
        <w:rPr>
          <w:rFonts w:hint="eastAsia" w:hAnsi="等线" w:cs="Arial"/>
          <w:sz w:val="18"/>
          <w:szCs w:val="18"/>
        </w:rPr>
        <w:t>，</w:t>
      </w:r>
      <w:r>
        <w:rPr>
          <w:rFonts w:hint="eastAsia" w:hAnsi="等线"/>
          <w:sz w:val="18"/>
          <w:szCs w:val="18"/>
        </w:rPr>
        <w:t>存在于生殖细胞内，具有遗传性，构成人与人的遗传多样性，人体的所有细胞均应带有一致的胚系</w:t>
      </w:r>
      <w:r>
        <w:rPr>
          <w:rFonts w:hint="eastAsia" w:hAnsi="等线"/>
          <w:sz w:val="18"/>
          <w:szCs w:val="18"/>
          <w:lang w:eastAsia="zh-CN"/>
        </w:rPr>
        <w:t>变异</w:t>
      </w:r>
      <w:r>
        <w:rPr>
          <w:rFonts w:hint="eastAsia" w:hAnsi="等线"/>
          <w:sz w:val="18"/>
          <w:szCs w:val="18"/>
        </w:rPr>
        <w:t>，但并非所有胚系</w:t>
      </w:r>
      <w:r>
        <w:rPr>
          <w:rFonts w:hint="eastAsia" w:hAnsi="等线"/>
          <w:sz w:val="18"/>
          <w:szCs w:val="18"/>
          <w:lang w:eastAsia="zh-CN"/>
        </w:rPr>
        <w:t>变异</w:t>
      </w:r>
      <w:r>
        <w:rPr>
          <w:rFonts w:hint="eastAsia" w:hAnsi="等线"/>
          <w:sz w:val="18"/>
          <w:szCs w:val="18"/>
        </w:rPr>
        <w:t>具有致病性</w:t>
      </w:r>
      <w:r>
        <w:rPr>
          <w:rFonts w:hint="eastAsia" w:hAnsi="等线" w:cs="Arial"/>
          <w:sz w:val="18"/>
          <w:szCs w:val="18"/>
        </w:rPr>
        <w:t>。</w:t>
      </w:r>
    </w:p>
    <w:p>
      <w:pPr>
        <w:pStyle w:val="38"/>
        <w:numPr>
          <w:ilvl w:val="0"/>
          <w:numId w:val="6"/>
        </w:numPr>
        <w:snapToGrid w:val="0"/>
        <w:spacing w:line="360" w:lineRule="auto"/>
        <w:ind w:firstLineChars="0"/>
        <w:jc w:val="left"/>
        <w:rPr>
          <w:rFonts w:hint="eastAsia" w:hAnsi="等线" w:cs="Arial"/>
          <w:sz w:val="18"/>
          <w:szCs w:val="18"/>
        </w:rPr>
      </w:pPr>
      <w:r>
        <w:rPr>
          <w:rFonts w:hint="eastAsia" w:hAnsi="等线" w:cs="Arial"/>
          <w:sz w:val="18"/>
          <w:szCs w:val="18"/>
        </w:rPr>
        <w:t>由于本样本未送检外周血对照样本，无法完全确定突变是否为胚系变异。若检测到突变，建议临床医生结合患者家族史等信息，谨慎参考本次检测结果。必要时，可送检外周血对照样本，排除胚系变异的可能。</w:t>
      </w:r>
    </w:p>
    <w:p>
      <w:pPr>
        <w:pStyle w:val="38"/>
        <w:numPr>
          <w:ilvl w:val="0"/>
          <w:numId w:val="6"/>
        </w:numPr>
        <w:snapToGrid w:val="0"/>
        <w:spacing w:line="360" w:lineRule="auto"/>
        <w:ind w:firstLineChars="0"/>
        <w:jc w:val="left"/>
        <w:rPr>
          <w:rFonts w:hAnsi="等线"/>
          <w:sz w:val="18"/>
          <w:szCs w:val="18"/>
        </w:rPr>
      </w:pPr>
      <w:r>
        <w:rPr>
          <w:rFonts w:hint="eastAsia" w:hAnsi="等线"/>
          <w:sz w:val="18"/>
          <w:szCs w:val="18"/>
        </w:rPr>
        <w:t>胚系</w:t>
      </w:r>
      <w:r>
        <w:rPr>
          <w:rFonts w:hint="eastAsia" w:hAnsi="等线"/>
          <w:sz w:val="18"/>
          <w:szCs w:val="18"/>
          <w:lang w:eastAsia="zh-CN"/>
        </w:rPr>
        <w:t>变异</w:t>
      </w:r>
      <w:r>
        <w:rPr>
          <w:rFonts w:hint="eastAsia" w:hAnsi="等线"/>
          <w:sz w:val="18"/>
          <w:szCs w:val="18"/>
        </w:rPr>
        <w:t>致病性分类参照美国医学遗传学和基因组学学院（</w:t>
      </w:r>
      <w:r>
        <w:rPr>
          <w:rFonts w:hAnsi="等线"/>
          <w:sz w:val="18"/>
          <w:szCs w:val="18"/>
        </w:rPr>
        <w:t>American College of Medical Genetics and Genomics，ACMG）相关指南，分为5级，分别为“致病</w:t>
      </w:r>
      <w:r>
        <w:rPr>
          <w:rFonts w:hint="eastAsia" w:hAnsi="等线"/>
          <w:sz w:val="18"/>
          <w:szCs w:val="18"/>
        </w:rPr>
        <w:t>的”、</w:t>
      </w:r>
      <w:r>
        <w:rPr>
          <w:rFonts w:hAnsi="等线"/>
          <w:sz w:val="18"/>
          <w:szCs w:val="18"/>
        </w:rPr>
        <w:t>“可能致病的”、“意义不明确的”、“可能良性的”和“良性的”。</w:t>
      </w:r>
    </w:p>
    <w:p>
      <w:pPr>
        <w:pStyle w:val="38"/>
        <w:numPr>
          <w:ilvl w:val="0"/>
          <w:numId w:val="6"/>
        </w:numPr>
        <w:snapToGrid w:val="0"/>
        <w:spacing w:line="360" w:lineRule="auto"/>
        <w:ind w:firstLineChars="0"/>
        <w:jc w:val="left"/>
        <w:rPr>
          <w:rFonts w:hAnsi="等线"/>
          <w:sz w:val="18"/>
          <w:szCs w:val="18"/>
        </w:rPr>
      </w:pPr>
      <w:r>
        <w:rPr>
          <w:rFonts w:hint="eastAsia" w:hAnsi="等线" w:cs="Arial"/>
          <w:sz w:val="18"/>
          <w:szCs w:val="18"/>
        </w:rPr>
        <w:t>本报告只列出“致病的”和“可能致病的”的胚系</w:t>
      </w:r>
      <w:r>
        <w:rPr>
          <w:rFonts w:hint="eastAsia" w:hAnsi="等线" w:cs="Arial"/>
          <w:sz w:val="18"/>
          <w:szCs w:val="18"/>
          <w:lang w:eastAsia="zh-CN"/>
        </w:rPr>
        <w:t>变异</w:t>
      </w:r>
      <w:r>
        <w:rPr>
          <w:rFonts w:hint="eastAsia" w:hAnsi="等线" w:cs="Arial"/>
          <w:sz w:val="18"/>
          <w:szCs w:val="18"/>
        </w:rPr>
        <w:t>。</w:t>
      </w:r>
    </w:p>
    <w:p>
      <w:pPr>
        <w:pStyle w:val="38"/>
        <w:numPr>
          <w:ilvl w:val="0"/>
          <w:numId w:val="6"/>
        </w:numPr>
        <w:snapToGrid w:val="0"/>
        <w:spacing w:line="360" w:lineRule="auto"/>
        <w:ind w:firstLineChars="0"/>
        <w:jc w:val="left"/>
        <w:rPr>
          <w:rFonts w:hAnsi="等线"/>
          <w:szCs w:val="21"/>
        </w:rPr>
      </w:pPr>
      <w:r>
        <w:rPr>
          <w:rFonts w:hAnsi="等线"/>
          <w:sz w:val="18"/>
          <w:szCs w:val="18"/>
        </w:rPr>
        <w:t>遗传方式：AD表示常染色体显性遗</w:t>
      </w:r>
      <w:r>
        <w:rPr>
          <w:rFonts w:hint="eastAsia" w:hAnsi="等线"/>
          <w:sz w:val="18"/>
          <w:szCs w:val="18"/>
        </w:rPr>
        <w:t>传，</w:t>
      </w:r>
      <w:r>
        <w:rPr>
          <w:rFonts w:hAnsi="等线"/>
          <w:sz w:val="18"/>
          <w:szCs w:val="18"/>
        </w:rPr>
        <w:t>AR表示常染色体隐性遗传</w:t>
      </w:r>
      <w:r>
        <w:rPr>
          <w:rFonts w:hint="eastAsia" w:hAnsi="等线"/>
          <w:szCs w:val="21"/>
        </w:rPr>
        <w:t>。</w:t>
      </w:r>
    </w:p>
    <w:p>
      <w:r>
        <w:br w:type="page"/>
      </w:r>
    </w:p>
    <w:bookmarkEnd w:id="57"/>
    <w:p>
      <w:pPr>
        <w:pStyle w:val="2"/>
        <w:spacing w:after="0"/>
        <w:jc w:val="center"/>
        <w:rPr>
          <w:rFonts w:hAnsi="等线"/>
          <w:color w:val="00B0F0"/>
        </w:rPr>
      </w:pPr>
      <w:bookmarkStart w:id="74" w:name="_Toc89103160"/>
      <w:r>
        <w:rPr>
          <w:sz w:val="36"/>
          <w:szCs w:val="36"/>
        </w:rPr>
        <mc:AlternateContent>
          <mc:Choice Requires="wps">
            <w:drawing>
              <wp:anchor distT="0" distB="0" distL="114300" distR="114300" simplePos="0" relativeHeight="251670528" behindDoc="0" locked="0" layoutInCell="1" allowOverlap="1">
                <wp:simplePos x="0" y="0"/>
                <wp:positionH relativeFrom="column">
                  <wp:posOffset>1242060</wp:posOffset>
                </wp:positionH>
                <wp:positionV relativeFrom="paragraph">
                  <wp:posOffset>-53340</wp:posOffset>
                </wp:positionV>
                <wp:extent cx="3726180" cy="561975"/>
                <wp:effectExtent l="12700" t="12700" r="25400" b="19685"/>
                <wp:wrapNone/>
                <wp:docPr id="1037" name="圆角矩形 7"/>
                <wp:cNvGraphicFramePr/>
                <a:graphic xmlns:a="http://schemas.openxmlformats.org/drawingml/2006/main">
                  <a:graphicData uri="http://schemas.microsoft.com/office/word/2010/wordprocessingShape">
                    <wps:wsp>
                      <wps:cNvSpPr/>
                      <wps:spPr>
                        <a:xfrm>
                          <a:off x="0" y="0"/>
                          <a:ext cx="3726180" cy="561975"/>
                        </a:xfrm>
                        <a:prstGeom prst="roundRect">
                          <a:avLst/>
                        </a:prstGeom>
                        <a:noFill/>
                        <a:ln w="25400">
                          <a:solidFill>
                            <a:srgbClr val="00B0F0"/>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id="圆角矩形 7" o:spid="_x0000_s1026" o:spt="2" style="position:absolute;left:0pt;margin-left:97.8pt;margin-top:-4.2pt;height:44.25pt;width:293.4pt;z-index:251670528;v-text-anchor:middle;mso-width-relative:page;mso-height-relative:page;" filled="f" stroked="t" coordsize="21600,21600" arcsize="0.166666666666667" o:gfxdata="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">
                <v:fill on="f" focussize="0,0"/>
                <v:stroke weight="2pt" color="#00B0F0 [3204]" miterlimit="8" joinstyle="miter"/>
                <v:imagedata o:title=""/>
                <o:lock v:ext="edit" aspectratio="f"/>
                <v:textbox>
                  <w:txbxContent>
                    <w:p>
                      <w:pPr>
                        <w:jc w:val="center"/>
                      </w:pPr>
                    </w:p>
                  </w:txbxContent>
                </v:textbox>
              </v:roundrect>
            </w:pict>
          </mc:Fallback>
        </mc:AlternateContent>
      </w:r>
      <w:r>
        <w:rPr>
          <w:rFonts w:hAnsi="等线"/>
          <w:color w:val="00B0F0"/>
        </w:rPr>
        <w:t xml:space="preserve">Part 4: </w:t>
      </w:r>
      <w:bookmarkStart w:id="75" w:name="Part4：其他信息"/>
      <w:bookmarkEnd w:id="75"/>
      <w:r>
        <w:rPr>
          <w:rFonts w:hint="eastAsia" w:hAnsi="等线"/>
          <w:color w:val="00B0F0"/>
        </w:rPr>
        <w:t>其他信息及说明</w:t>
      </w:r>
      <w:bookmarkEnd w:id="74"/>
    </w:p>
    <w:p>
      <w:pPr>
        <w:spacing w:before="340" w:line="360" w:lineRule="auto"/>
        <w:jc w:val="left"/>
        <w:outlineLvl w:val="1"/>
        <w:rPr>
          <w:rFonts w:hAnsi="等线" w:cs="Arial"/>
          <w:b/>
          <w:bCs/>
          <w:color w:val="00B0F0"/>
          <w:sz w:val="28"/>
          <w:szCs w:val="28"/>
        </w:rPr>
      </w:pPr>
      <w:bookmarkStart w:id="76" w:name="_Toc89103161"/>
      <w:r>
        <w:rPr>
          <w:rFonts w:hAnsi="等线" w:cs="Arial"/>
          <w:b/>
          <w:bCs/>
          <w:color w:val="00B0F0"/>
          <w:sz w:val="28"/>
          <w:szCs w:val="28"/>
        </w:rPr>
        <w:drawing>
          <wp:anchor distT="0" distB="0" distL="114300" distR="114300" simplePos="0" relativeHeight="251675648" behindDoc="0" locked="0" layoutInCell="1" allowOverlap="1">
            <wp:simplePos x="0" y="0"/>
            <wp:positionH relativeFrom="column">
              <wp:posOffset>92710</wp:posOffset>
            </wp:positionH>
            <wp:positionV relativeFrom="paragraph">
              <wp:posOffset>250825</wp:posOffset>
            </wp:positionV>
            <wp:extent cx="275590" cy="277495"/>
            <wp:effectExtent l="0" t="0" r="13970" b="12065"/>
            <wp:wrapNone/>
            <wp:docPr id="1038" name="图片 45" descr="D:\解码\4x\资源 4@47.png资源 4@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D:\解码\4x\资源 4@47.png资源 4@47"/>
                    <pic:cNvPicPr>
                      <a:picLocks noChangeAspect="1"/>
                    </pic:cNvPicPr>
                  </pic:nvPicPr>
                  <pic:blipFill>
                    <a:blip r:embed="rId16"/>
                    <a:srcRect/>
                    <a:stretch>
                      <a:fillRect/>
                    </a:stretch>
                  </pic:blipFill>
                  <pic:spPr>
                    <a:xfrm>
                      <a:off x="0" y="0"/>
                      <a:ext cx="275590" cy="277495"/>
                    </a:xfrm>
                    <a:prstGeom prst="rect">
                      <a:avLst/>
                    </a:prstGeom>
                  </pic:spPr>
                </pic:pic>
              </a:graphicData>
            </a:graphic>
          </wp:anchor>
        </w:drawing>
      </w:r>
      <w:r>
        <w:rPr>
          <w:rFonts w:hAnsi="等线" w:cs="Arial"/>
          <w:b/>
          <w:bCs/>
          <w:color w:val="00B0F0"/>
          <w:sz w:val="28"/>
          <w:szCs w:val="28"/>
        </w:rPr>
        <w:t xml:space="preserve"> </w:t>
      </w:r>
      <w:r>
        <w:rPr>
          <w:rFonts w:hint="eastAsia" w:hAnsi="等线" w:cs="Arial"/>
          <w:b/>
          <w:bCs/>
          <w:color w:val="00B0F0"/>
          <w:sz w:val="28"/>
          <w:szCs w:val="28"/>
        </w:rPr>
        <w:t xml:space="preserve">    </w:t>
      </w:r>
      <w:bookmarkStart w:id="77" w:name="样本质控结果"/>
      <w:bookmarkEnd w:id="77"/>
      <w:r>
        <w:rPr>
          <w:rFonts w:hint="eastAsia" w:hAnsi="等线" w:cs="Arial"/>
          <w:b/>
          <w:bCs/>
          <w:color w:val="00B0F0"/>
          <w:sz w:val="28"/>
          <w:szCs w:val="28"/>
        </w:rPr>
        <w:t>样本质控结果</w:t>
      </w:r>
      <w:bookmarkEnd w:id="76"/>
    </w:p>
    <w:tbl>
      <w:tblPr>
        <w:tblStyle w:val="45"/>
        <w:tblW w:w="5000" w:type="pct"/>
        <w:jc w:val="center"/>
        <w:tblBorders>
          <w:top w:val="single" w:color="416AAB" w:sz="24" w:space="0"/>
          <w:left w:val="single" w:color="416AAB" w:sz="24" w:space="0"/>
          <w:bottom w:val="single" w:color="416AAB" w:sz="24" w:space="0"/>
          <w:right w:val="single" w:color="416AAB" w:sz="24" w:space="0"/>
          <w:insideH w:val="single" w:color="416AAB" w:sz="24" w:space="0"/>
          <w:insideV w:val="single" w:color="416AAB" w:sz="24" w:space="0"/>
        </w:tblBorders>
        <w:tblLayout w:type="fixed"/>
        <w:tblCellMar>
          <w:top w:w="0" w:type="dxa"/>
          <w:left w:w="0" w:type="dxa"/>
          <w:bottom w:w="0" w:type="dxa"/>
          <w:right w:w="0" w:type="dxa"/>
        </w:tblCellMar>
      </w:tblPr>
      <w:tblGrid>
        <w:gridCol w:w="2788"/>
        <w:gridCol w:w="2188"/>
        <w:gridCol w:w="2342"/>
        <w:gridCol w:w="2342"/>
      </w:tblGrid>
      <w:tr>
        <w:tblPrEx>
          <w:tblBorders>
            <w:top w:val="single" w:color="416AAB" w:sz="24" w:space="0"/>
            <w:left w:val="single" w:color="416AAB" w:sz="24" w:space="0"/>
            <w:bottom w:val="single" w:color="416AAB" w:sz="24" w:space="0"/>
            <w:right w:val="single" w:color="416AAB" w:sz="24" w:space="0"/>
            <w:insideH w:val="single" w:color="416AAB" w:sz="24" w:space="0"/>
            <w:insideV w:val="single" w:color="416AAB" w:sz="24" w:space="0"/>
          </w:tblBorders>
          <w:tblCellMar>
            <w:top w:w="0" w:type="dxa"/>
            <w:left w:w="0" w:type="dxa"/>
            <w:bottom w:w="0" w:type="dxa"/>
            <w:right w:w="0" w:type="dxa"/>
          </w:tblCellMar>
        </w:tblPrEx>
        <w:trPr>
          <w:trHeight w:val="19" w:hRule="atLeast"/>
          <w:jc w:val="center"/>
        </w:trPr>
        <w:tc>
          <w:tcPr>
            <w:tcW w:w="2700" w:type="dxa"/>
            <w:tcBorders>
              <w:top w:val="single" w:color="EAEAEA" w:sz="8" w:space="0"/>
              <w:left w:val="single" w:color="EAEAEA" w:sz="8" w:space="0"/>
              <w:bottom w:val="single" w:color="EAEAEA" w:sz="18" w:space="0"/>
              <w:right w:val="single" w:color="EAEAEA" w:sz="8" w:space="0"/>
            </w:tcBorders>
            <w:shd w:val="clear" w:color="auto" w:fill="00B0F0"/>
            <w:vAlign w:val="center"/>
          </w:tcPr>
          <w:p>
            <w:pPr>
              <w:spacing w:before="120" w:after="120"/>
              <w:jc w:val="center"/>
              <w:rPr>
                <w:rFonts w:hAnsi="等线" w:cs="等线"/>
                <w:b/>
                <w:bCs/>
                <w:color w:val="FFFFFF"/>
                <w:kern w:val="0"/>
                <w:szCs w:val="21"/>
              </w:rPr>
            </w:pPr>
            <w:r>
              <w:rPr>
                <w:rFonts w:hint="eastAsia" w:hAnsi="等线" w:cs="等线"/>
                <w:b/>
                <w:bCs/>
                <w:color w:val="FFFFFF"/>
                <w:kern w:val="0"/>
                <w:szCs w:val="21"/>
              </w:rPr>
              <w:t>质量参数</w:t>
            </w:r>
          </w:p>
        </w:tc>
        <w:tc>
          <w:tcPr>
            <w:tcW w:w="2119" w:type="dxa"/>
            <w:tcBorders>
              <w:top w:val="single" w:color="EAEAEA" w:sz="8" w:space="0"/>
              <w:left w:val="single" w:color="EAEAEA" w:sz="8" w:space="0"/>
              <w:bottom w:val="single" w:color="EAEAEA" w:sz="18" w:space="0"/>
              <w:right w:val="single" w:color="EAEAEA" w:sz="8" w:space="0"/>
            </w:tcBorders>
            <w:shd w:val="clear" w:color="auto" w:fill="00B0F0"/>
            <w:vAlign w:val="center"/>
          </w:tcPr>
          <w:p>
            <w:pPr>
              <w:spacing w:before="120" w:after="120"/>
              <w:jc w:val="center"/>
              <w:rPr>
                <w:rFonts w:hAnsi="等线" w:cs="等线"/>
                <w:b/>
                <w:bCs/>
                <w:color w:val="FFFFFF"/>
                <w:kern w:val="0"/>
                <w:szCs w:val="21"/>
              </w:rPr>
            </w:pPr>
            <w:r>
              <w:rPr>
                <w:rFonts w:hint="eastAsia" w:hAnsi="等线" w:cs="等线"/>
                <w:b/>
                <w:bCs/>
                <w:color w:val="FFFFFF"/>
                <w:kern w:val="0"/>
                <w:szCs w:val="21"/>
              </w:rPr>
              <w:t>数值</w:t>
            </w:r>
          </w:p>
        </w:tc>
        <w:tc>
          <w:tcPr>
            <w:tcW w:w="2268" w:type="dxa"/>
            <w:tcBorders>
              <w:top w:val="single" w:color="EAEAEA" w:sz="8" w:space="0"/>
              <w:left w:val="single" w:color="EAEAEA" w:sz="8" w:space="0"/>
              <w:bottom w:val="single" w:color="EAEAEA" w:sz="18" w:space="0"/>
              <w:right w:val="single" w:color="EAEAEA" w:sz="8" w:space="0"/>
            </w:tcBorders>
            <w:shd w:val="clear" w:color="auto" w:fill="00B0F0"/>
            <w:vAlign w:val="center"/>
          </w:tcPr>
          <w:p>
            <w:pPr>
              <w:spacing w:before="120" w:after="120"/>
              <w:jc w:val="center"/>
              <w:rPr>
                <w:rFonts w:hAnsi="等线" w:cs="等线"/>
                <w:b/>
                <w:bCs/>
                <w:color w:val="FFFFFF"/>
                <w:kern w:val="0"/>
                <w:szCs w:val="21"/>
              </w:rPr>
            </w:pPr>
            <w:r>
              <w:rPr>
                <w:rFonts w:hint="eastAsia" w:hAnsi="等线" w:cs="等线"/>
                <w:b/>
                <w:bCs/>
                <w:color w:val="FFFFFF"/>
                <w:kern w:val="0"/>
                <w:szCs w:val="21"/>
              </w:rPr>
              <w:t>质控标准</w:t>
            </w:r>
          </w:p>
        </w:tc>
        <w:tc>
          <w:tcPr>
            <w:tcW w:w="2268" w:type="dxa"/>
            <w:tcBorders>
              <w:top w:val="single" w:color="EAEAEA" w:sz="8" w:space="0"/>
              <w:left w:val="single" w:color="EAEAEA" w:sz="8" w:space="0"/>
              <w:bottom w:val="single" w:color="EAEAEA" w:sz="18" w:space="0"/>
              <w:right w:val="single" w:color="EAEAEA" w:sz="8" w:space="0"/>
            </w:tcBorders>
            <w:shd w:val="clear" w:color="auto" w:fill="00B0F0"/>
          </w:tcPr>
          <w:p>
            <w:pPr>
              <w:spacing w:before="120" w:after="120"/>
              <w:jc w:val="center"/>
              <w:rPr>
                <w:rFonts w:hAnsi="等线" w:cs="等线"/>
                <w:b/>
                <w:bCs/>
                <w:color w:val="FFFFFF"/>
                <w:kern w:val="0"/>
                <w:szCs w:val="21"/>
              </w:rPr>
            </w:pPr>
            <w:r>
              <w:rPr>
                <w:rFonts w:hint="eastAsia" w:hAnsi="等线" w:cs="等线"/>
                <w:b/>
                <w:bCs/>
                <w:color w:val="FFFFFF"/>
                <w:kern w:val="0"/>
                <w:szCs w:val="21"/>
              </w:rPr>
              <w:t>质控结果</w:t>
            </w:r>
          </w:p>
        </w:tc>
      </w:tr>
      <w:tr>
        <w:tblPrEx>
          <w:tblBorders>
            <w:top w:val="single" w:color="416AAB" w:sz="24" w:space="0"/>
            <w:left w:val="single" w:color="416AAB" w:sz="24" w:space="0"/>
            <w:bottom w:val="single" w:color="416AAB" w:sz="24" w:space="0"/>
            <w:right w:val="single" w:color="416AAB" w:sz="24" w:space="0"/>
            <w:insideH w:val="single" w:color="416AAB" w:sz="24" w:space="0"/>
            <w:insideV w:val="single" w:color="416AAB" w:sz="24" w:space="0"/>
          </w:tblBorders>
          <w:tblCellMar>
            <w:top w:w="0" w:type="dxa"/>
            <w:left w:w="0" w:type="dxa"/>
            <w:bottom w:w="0" w:type="dxa"/>
            <w:right w:w="0" w:type="dxa"/>
          </w:tblCellMar>
        </w:tblPrEx>
        <w:trPr>
          <w:trHeight w:val="19" w:hRule="atLeast"/>
          <w:jc w:val="center"/>
        </w:trPr>
        <w:tc>
          <w:tcPr>
            <w:tcW w:w="2700" w:type="dxa"/>
            <w:tcBorders>
              <w:top w:val="single" w:color="EAEAEA" w:sz="18" w:space="0"/>
              <w:left w:val="single" w:color="EAEAEA" w:sz="8" w:space="0"/>
              <w:bottom w:val="single" w:color="EAEAEA" w:sz="8" w:space="0"/>
              <w:right w:val="single" w:color="EAEAEA" w:sz="8" w:space="0"/>
            </w:tcBorders>
            <w:shd w:val="clear" w:color="auto" w:fill="CCDDF3"/>
            <w:vAlign w:val="center"/>
          </w:tcPr>
          <w:p>
            <w:pPr>
              <w:spacing w:before="120" w:after="120"/>
              <w:jc w:val="center"/>
              <w:rPr>
                <w:rFonts w:hint="eastAsia" w:hAnsi="等线" w:eastAsia="等线" w:cs="等线"/>
                <w:color w:val="000000"/>
                <w:kern w:val="0"/>
                <w:sz w:val="20"/>
                <w:szCs w:val="20"/>
                <w:lang w:eastAsia="zh-CN"/>
              </w:rPr>
            </w:pPr>
            <w:r>
              <w:rPr>
                <w:rFonts w:hint="eastAsia" w:hAnsi="等线" w:cs="等线"/>
                <w:color w:val="000000"/>
                <w:kern w:val="0"/>
                <w:sz w:val="20"/>
                <w:szCs w:val="20"/>
              </w:rPr>
              <w:t>碱基质量Q30占比</w:t>
            </w:r>
            <w:r>
              <w:rPr>
                <w:rFonts w:hint="eastAsia" w:hAnsi="等线" w:cs="等线"/>
                <w:color w:val="000000"/>
                <w:kern w:val="0"/>
                <w:sz w:val="20"/>
                <w:szCs w:val="20"/>
                <w:lang w:eastAsia="zh-CN"/>
              </w:rPr>
              <w:t>（</w:t>
            </w:r>
            <w:r>
              <w:rPr>
                <w:rFonts w:hint="eastAsia" w:hAnsi="等线" w:cs="等线"/>
                <w:color w:val="000000"/>
                <w:kern w:val="0"/>
                <w:sz w:val="20"/>
                <w:szCs w:val="20"/>
                <w:lang w:val="en-US" w:eastAsia="zh-CN"/>
              </w:rPr>
              <w:t>%</w:t>
            </w:r>
            <w:r>
              <w:rPr>
                <w:rFonts w:hint="eastAsia" w:hAnsi="等线" w:cs="等线"/>
                <w:color w:val="000000"/>
                <w:kern w:val="0"/>
                <w:sz w:val="20"/>
                <w:szCs w:val="20"/>
                <w:lang w:eastAsia="zh-CN"/>
              </w:rPr>
              <w:t>）</w:t>
            </w:r>
          </w:p>
        </w:tc>
        <w:tc>
          <w:tcPr>
            <w:tcW w:w="2119" w:type="dxa"/>
            <w:tcBorders>
              <w:top w:val="single" w:color="EAEAEA" w:sz="18" w:space="0"/>
              <w:left w:val="single" w:color="EAEAEA" w:sz="8" w:space="0"/>
              <w:bottom w:val="single" w:color="EAEAEA" w:sz="8" w:space="0"/>
              <w:right w:val="single" w:color="EAEAEA" w:sz="8" w:space="0"/>
            </w:tcBorders>
            <w:shd w:val="clear" w:color="auto" w:fill="FFFFFF"/>
            <w:vAlign w:val="center"/>
          </w:tcPr>
          <w:p>
            <w:pPr>
              <w:spacing w:before="120" w:after="120"/>
              <w:jc w:val="center"/>
              <w:rPr>
                <w:rFonts w:hint="eastAsia" w:hAnsi="等线" w:eastAsia="等线" w:cs="等线"/>
                <w:color w:val="000000"/>
                <w:kern w:val="0"/>
                <w:sz w:val="20"/>
                <w:szCs w:val="20"/>
                <w:lang w:eastAsia="zh-CN"/>
              </w:rPr>
            </w:pPr>
            <w:r>
              <w:rPr>
                <w:rFonts w:hint="eastAsia" w:hAnsi="等线" w:cs="等线"/>
                <w:color w:val="404040"/>
                <w:sz w:val="20"/>
                <w:szCs w:val="20"/>
                <w:lang w:bidi="ar"/>
              </w:rPr>
              <w:t xml:space="preserve">94.32</w:t>
            </w:r>
          </w:p>
        </w:tc>
        <w:tc>
          <w:tcPr>
            <w:tcW w:w="2268" w:type="dxa"/>
            <w:tcBorders>
              <w:top w:val="single" w:color="EAEAEA" w:sz="18" w:space="0"/>
              <w:left w:val="single" w:color="EAEAEA" w:sz="8" w:space="0"/>
              <w:bottom w:val="single" w:color="EAEAEA" w:sz="8" w:space="0"/>
              <w:right w:val="single" w:color="EAEAEA" w:sz="8" w:space="0"/>
            </w:tcBorders>
            <w:shd w:val="clear" w:color="auto" w:fill="CCDDF3"/>
            <w:vAlign w:val="center"/>
          </w:tcPr>
          <w:p>
            <w:pPr>
              <w:spacing w:before="120" w:after="120"/>
              <w:jc w:val="center"/>
              <w:rPr>
                <w:rFonts w:hAnsi="等线" w:cs="等线"/>
                <w:color w:val="000000"/>
                <w:kern w:val="0"/>
                <w:sz w:val="20"/>
                <w:szCs w:val="20"/>
                <w:highlight w:val="none"/>
              </w:rPr>
            </w:pPr>
            <w:r>
              <w:rPr>
                <w:rFonts w:hint="eastAsia" w:hAnsi="等线" w:cs="等线"/>
                <w:color w:val="000000"/>
                <w:kern w:val="0"/>
                <w:sz w:val="20"/>
                <w:szCs w:val="20"/>
                <w:highlight w:val="none"/>
              </w:rPr>
              <w:t>≥85</w:t>
            </w:r>
          </w:p>
        </w:tc>
        <w:tc>
          <w:tcPr>
            <w:tcW w:w="2268" w:type="dxa"/>
            <w:tcBorders>
              <w:top w:val="single" w:color="EAEAEA" w:sz="18" w:space="0"/>
              <w:left w:val="single" w:color="EAEAEA" w:sz="8" w:space="0"/>
              <w:bottom w:val="single" w:color="EAEAEA" w:sz="8" w:space="0"/>
              <w:right w:val="single" w:color="EAEAEA" w:sz="8" w:space="0"/>
            </w:tcBorders>
            <w:shd w:val="clear" w:color="auto" w:fill="FFFFFF"/>
          </w:tcPr>
          <w:p>
            <w:pPr>
              <w:spacing w:before="120" w:after="120"/>
              <w:jc w:val="center"/>
              <w:rPr>
                <w:rFonts w:hint="eastAsia" w:hAnsi="等线" w:cs="等线"/>
                <w:color w:val="404040"/>
                <w:sz w:val="20"/>
                <w:szCs w:val="20"/>
                <w:lang w:val="en-US" w:eastAsia="zh-CN" w:bidi="ar"/>
              </w:rPr>
            </w:pPr>
            <w:r>
              <w:rPr>
                <w:rFonts w:hint="eastAsia" w:hAnsi="等线" w:cs="等线"/>
                <w:color w:val="404040"/>
                <w:sz w:val="20"/>
                <w:szCs w:val="20"/>
                <w:lang w:val="en-US" w:eastAsia="zh-CN" w:bidi="ar"/>
              </w:rPr>
              <w:t>合格</w:t>
            </w:r>
          </w:p>
        </w:tc>
      </w:tr>
      <w:tr>
        <w:tblPrEx>
          <w:tblBorders>
            <w:top w:val="single" w:color="416AAB" w:sz="24" w:space="0"/>
            <w:left w:val="single" w:color="416AAB" w:sz="24" w:space="0"/>
            <w:bottom w:val="single" w:color="416AAB" w:sz="24" w:space="0"/>
            <w:right w:val="single" w:color="416AAB" w:sz="24" w:space="0"/>
            <w:insideH w:val="single" w:color="416AAB" w:sz="24" w:space="0"/>
            <w:insideV w:val="single" w:color="416AAB" w:sz="24" w:space="0"/>
          </w:tblBorders>
          <w:tblCellMar>
            <w:top w:w="0" w:type="dxa"/>
            <w:left w:w="0" w:type="dxa"/>
            <w:bottom w:w="0" w:type="dxa"/>
            <w:right w:w="0" w:type="dxa"/>
          </w:tblCellMar>
        </w:tblPrEx>
        <w:trPr>
          <w:trHeight w:val="19" w:hRule="atLeast"/>
          <w:jc w:val="center"/>
        </w:trPr>
        <w:tc>
          <w:tcPr>
            <w:tcW w:w="2700" w:type="dxa"/>
            <w:tcBorders>
              <w:top w:val="single" w:color="EAEAEA" w:sz="8" w:space="0"/>
              <w:left w:val="single" w:color="EAEAEA" w:sz="8" w:space="0"/>
              <w:bottom w:val="single" w:color="EAEAEA" w:sz="8" w:space="0"/>
              <w:right w:val="single" w:color="EAEAEA" w:sz="8" w:space="0"/>
            </w:tcBorders>
            <w:shd w:val="clear" w:color="auto" w:fill="CCDDF3"/>
            <w:vAlign w:val="center"/>
          </w:tcPr>
          <w:p>
            <w:pPr>
              <w:spacing w:before="120" w:after="120"/>
              <w:jc w:val="center"/>
              <w:rPr>
                <w:rFonts w:hAnsi="等线" w:cs="等线"/>
                <w:color w:val="000000"/>
                <w:kern w:val="0"/>
                <w:sz w:val="20"/>
                <w:szCs w:val="20"/>
              </w:rPr>
            </w:pPr>
            <w:r>
              <w:rPr>
                <w:rFonts w:hint="eastAsia" w:hAnsi="等线" w:cs="等线"/>
                <w:color w:val="000000"/>
                <w:kern w:val="0"/>
                <w:sz w:val="20"/>
                <w:szCs w:val="20"/>
              </w:rPr>
              <w:t>平均测序深度（</w:t>
            </w:r>
            <w:r>
              <w:rPr>
                <w:rFonts w:hint="eastAsia" w:hAnsi="等线" w:cs="等线"/>
                <w:color w:val="000000"/>
                <w:kern w:val="0"/>
                <w:sz w:val="20"/>
                <w:szCs w:val="20"/>
                <w:lang w:val="en-US" w:eastAsia="zh-CN"/>
              </w:rPr>
              <w:t>X</w:t>
            </w:r>
            <w:r>
              <w:rPr>
                <w:rFonts w:hint="eastAsia" w:hAnsi="等线" w:cs="等线"/>
                <w:color w:val="000000"/>
                <w:kern w:val="0"/>
                <w:sz w:val="20"/>
                <w:szCs w:val="20"/>
              </w:rPr>
              <w:t>）</w:t>
            </w:r>
          </w:p>
        </w:tc>
        <w:tc>
          <w:tcPr>
            <w:tcW w:w="2119" w:type="dxa"/>
            <w:tcBorders>
              <w:top w:val="single" w:color="EAEAEA" w:sz="8" w:space="0"/>
              <w:left w:val="single" w:color="EAEAEA" w:sz="8" w:space="0"/>
              <w:bottom w:val="single" w:color="EAEAEA" w:sz="8" w:space="0"/>
              <w:right w:val="single" w:color="EAEAEA" w:sz="8" w:space="0"/>
            </w:tcBorders>
            <w:shd w:val="clear" w:color="auto" w:fill="F2F2F2"/>
            <w:vAlign w:val="center"/>
          </w:tcPr>
          <w:p>
            <w:pPr>
              <w:widowControl/>
              <w:tabs>
                <w:tab w:val="left" w:pos="0"/>
              </w:tabs>
              <w:jc w:val="center"/>
              <w:rPr>
                <w:rFonts w:hint="eastAsia" w:hAnsi="等线" w:eastAsia="等线" w:cs="等线"/>
                <w:color w:val="000000"/>
                <w:kern w:val="0"/>
                <w:sz w:val="20"/>
                <w:szCs w:val="20"/>
                <w:lang w:eastAsia="zh-CN"/>
              </w:rPr>
            </w:pPr>
            <w:r>
              <w:rPr>
                <w:rFonts w:hint="eastAsia" w:hAnsi="等线" w:cs="等线"/>
                <w:color w:val="404040"/>
                <w:sz w:val="20"/>
                <w:szCs w:val="20"/>
                <w:lang w:bidi="ar"/>
              </w:rPr>
              <w:t xml:space="preserve">937.62</w:t>
            </w:r>
          </w:p>
        </w:tc>
        <w:tc>
          <w:tcPr>
            <w:tcW w:w="2268" w:type="dxa"/>
            <w:tcBorders>
              <w:top w:val="single" w:color="EAEAEA" w:sz="8" w:space="0"/>
              <w:left w:val="single" w:color="EAEAEA" w:sz="8" w:space="0"/>
              <w:bottom w:val="single" w:color="EAEAEA" w:sz="8" w:space="0"/>
              <w:right w:val="single" w:color="EAEAEA" w:sz="8" w:space="0"/>
            </w:tcBorders>
            <w:shd w:val="clear" w:color="auto" w:fill="CCDDF3"/>
            <w:vAlign w:val="center"/>
          </w:tcPr>
          <w:p>
            <w:pPr>
              <w:spacing w:before="120" w:after="120"/>
              <w:jc w:val="center"/>
              <w:rPr>
                <w:rFonts w:hint="default" w:hAnsi="等线" w:cs="等线"/>
                <w:color w:val="000000"/>
                <w:kern w:val="0"/>
                <w:sz w:val="20"/>
                <w:szCs w:val="20"/>
                <w:highlight w:val="none"/>
                <w:lang w:val="en-US"/>
              </w:rPr>
            </w:pPr>
            <w:r>
              <w:rPr>
                <w:rFonts w:hint="eastAsia" w:hAnsi="等线" w:cs="等线"/>
                <w:color w:val="000000"/>
                <w:kern w:val="0"/>
                <w:sz w:val="20"/>
                <w:szCs w:val="20"/>
                <w:highlight w:val="none"/>
              </w:rPr>
              <w:t>≥</w:t>
            </w:r>
            <w:r>
              <w:rPr>
                <w:rFonts w:hint="eastAsia" w:hAnsi="等线" w:cs="等线"/>
                <w:color w:val="000000"/>
                <w:kern w:val="0"/>
                <w:sz w:val="20"/>
                <w:szCs w:val="20"/>
                <w:highlight w:val="none"/>
                <w:lang w:val="en-US" w:eastAsia="zh-CN"/>
              </w:rPr>
              <w:t>500</w:t>
            </w:r>
          </w:p>
        </w:tc>
        <w:tc>
          <w:tcPr>
            <w:tcW w:w="2268" w:type="dxa"/>
            <w:tcBorders>
              <w:top w:val="single" w:color="EAEAEA" w:sz="8" w:space="0"/>
              <w:left w:val="single" w:color="EAEAEA" w:sz="8" w:space="0"/>
              <w:bottom w:val="single" w:color="EAEAEA" w:sz="8" w:space="0"/>
              <w:right w:val="single" w:color="EAEAEA" w:sz="8" w:space="0"/>
            </w:tcBorders>
            <w:shd w:val="clear" w:color="auto" w:fill="F2F2F2"/>
            <w:vAlign w:val="center"/>
          </w:tcPr>
          <w:p>
            <w:pPr>
              <w:spacing w:before="120" w:after="120"/>
              <w:jc w:val="center"/>
              <w:rPr>
                <w:rFonts w:hint="eastAsia" w:hAnsi="等线" w:cs="等线"/>
                <w:color w:val="404040"/>
                <w:sz w:val="20"/>
                <w:szCs w:val="20"/>
                <w:lang w:val="en-US" w:eastAsia="zh-CN" w:bidi="ar"/>
              </w:rPr>
            </w:pPr>
            <w:r>
              <w:rPr>
                <w:rFonts w:hint="eastAsia" w:hAnsi="等线" w:cs="等线"/>
                <w:color w:val="404040"/>
                <w:sz w:val="20"/>
                <w:szCs w:val="20"/>
                <w:lang w:val="en-US" w:eastAsia="zh-CN" w:bidi="ar"/>
              </w:rPr>
              <w:t>合格</w:t>
            </w:r>
          </w:p>
        </w:tc>
      </w:tr>
      <w:tr>
        <w:tblPrEx>
          <w:tblBorders>
            <w:top w:val="single" w:color="416AAB" w:sz="24" w:space="0"/>
            <w:left w:val="single" w:color="416AAB" w:sz="24" w:space="0"/>
            <w:bottom w:val="single" w:color="416AAB" w:sz="24" w:space="0"/>
            <w:right w:val="single" w:color="416AAB" w:sz="24" w:space="0"/>
            <w:insideH w:val="single" w:color="416AAB" w:sz="24" w:space="0"/>
            <w:insideV w:val="single" w:color="416AAB" w:sz="24" w:space="0"/>
          </w:tblBorders>
          <w:tblCellMar>
            <w:top w:w="0" w:type="dxa"/>
            <w:left w:w="0" w:type="dxa"/>
            <w:bottom w:w="0" w:type="dxa"/>
            <w:right w:w="0" w:type="dxa"/>
          </w:tblCellMar>
        </w:tblPrEx>
        <w:trPr>
          <w:trHeight w:val="19" w:hRule="atLeast"/>
          <w:jc w:val="center"/>
        </w:trPr>
        <w:tc>
          <w:tcPr>
            <w:tcW w:w="2700" w:type="dxa"/>
            <w:tcBorders>
              <w:top w:val="single" w:color="EAEAEA" w:sz="8" w:space="0"/>
              <w:left w:val="single" w:color="EAEAEA" w:sz="8" w:space="0"/>
              <w:bottom w:val="single" w:color="EAEAEA" w:sz="8" w:space="0"/>
              <w:right w:val="single" w:color="EAEAEA" w:sz="8" w:space="0"/>
            </w:tcBorders>
            <w:shd w:val="clear" w:color="auto" w:fill="CCDDF3"/>
            <w:vAlign w:val="center"/>
          </w:tcPr>
          <w:p>
            <w:pPr>
              <w:spacing w:before="120" w:after="120"/>
              <w:jc w:val="center"/>
              <w:rPr>
                <w:rFonts w:hAnsi="等线" w:cs="等线"/>
                <w:color w:val="000000"/>
                <w:kern w:val="0"/>
                <w:sz w:val="20"/>
                <w:szCs w:val="20"/>
              </w:rPr>
            </w:pPr>
            <w:r>
              <w:rPr>
                <w:rFonts w:hint="eastAsia" w:hAnsi="等线" w:cs="等线"/>
                <w:color w:val="000000"/>
                <w:kern w:val="0"/>
                <w:sz w:val="20"/>
                <w:szCs w:val="20"/>
              </w:rPr>
              <w:t>覆盖均一性（%）</w:t>
            </w:r>
          </w:p>
        </w:tc>
        <w:tc>
          <w:tcPr>
            <w:tcW w:w="2119" w:type="dxa"/>
            <w:tcBorders>
              <w:top w:val="single" w:color="EAEAEA" w:sz="8" w:space="0"/>
              <w:left w:val="single" w:color="EAEAEA" w:sz="8" w:space="0"/>
              <w:bottom w:val="single" w:color="EAEAEA" w:sz="8" w:space="0"/>
              <w:right w:val="single" w:color="EAEAEA" w:sz="8" w:space="0"/>
            </w:tcBorders>
            <w:shd w:val="clear" w:color="auto" w:fill="FFFFFF"/>
            <w:vAlign w:val="center"/>
          </w:tcPr>
          <w:p>
            <w:pPr>
              <w:widowControl/>
              <w:tabs>
                <w:tab w:val="left" w:pos="0"/>
              </w:tabs>
              <w:jc w:val="center"/>
              <w:rPr>
                <w:rFonts w:hint="eastAsia" w:hAnsi="等线" w:eastAsia="等线" w:cs="等线"/>
                <w:color w:val="000000"/>
                <w:kern w:val="0"/>
                <w:sz w:val="20"/>
                <w:szCs w:val="20"/>
                <w:lang w:eastAsia="zh-CN"/>
              </w:rPr>
            </w:pPr>
            <w:r>
              <w:rPr>
                <w:rFonts w:hint="eastAsia" w:hAnsi="等线" w:cs="等线"/>
                <w:color w:val="404040"/>
                <w:sz w:val="20"/>
                <w:szCs w:val="20"/>
                <w:lang w:bidi="ar"/>
              </w:rPr>
              <w:t xml:space="preserve">35.53</w:t>
            </w:r>
          </w:p>
        </w:tc>
        <w:tc>
          <w:tcPr>
            <w:tcW w:w="2268" w:type="dxa"/>
            <w:tcBorders>
              <w:top w:val="single" w:color="EAEAEA" w:sz="8" w:space="0"/>
              <w:left w:val="single" w:color="EAEAEA" w:sz="8" w:space="0"/>
              <w:bottom w:val="single" w:color="EAEAEA" w:sz="8" w:space="0"/>
              <w:right w:val="single" w:color="EAEAEA" w:sz="8" w:space="0"/>
            </w:tcBorders>
            <w:shd w:val="clear" w:color="auto" w:fill="CCDDF3"/>
            <w:vAlign w:val="center"/>
          </w:tcPr>
          <w:p>
            <w:pPr>
              <w:spacing w:before="120" w:after="120"/>
              <w:jc w:val="center"/>
              <w:rPr>
                <w:rFonts w:hAnsi="等线" w:cs="等线"/>
                <w:color w:val="000000"/>
                <w:kern w:val="0"/>
                <w:sz w:val="20"/>
                <w:szCs w:val="20"/>
                <w:highlight w:val="none"/>
              </w:rPr>
            </w:pPr>
            <w:r>
              <w:rPr>
                <w:rFonts w:hint="eastAsia" w:hAnsi="等线" w:cs="等线"/>
                <w:color w:val="000000"/>
                <w:kern w:val="0"/>
                <w:sz w:val="20"/>
                <w:szCs w:val="20"/>
                <w:highlight w:val="none"/>
              </w:rPr>
              <w:t>≥90</w:t>
            </w:r>
          </w:p>
        </w:tc>
        <w:tc>
          <w:tcPr>
            <w:tcW w:w="2268" w:type="dxa"/>
            <w:tcBorders>
              <w:top w:val="single" w:color="EAEAEA" w:sz="8" w:space="0"/>
              <w:left w:val="single" w:color="EAEAEA" w:sz="8" w:space="0"/>
              <w:bottom w:val="single" w:color="EAEAEA" w:sz="8" w:space="0"/>
              <w:right w:val="single" w:color="EAEAEA" w:sz="8" w:space="0"/>
            </w:tcBorders>
            <w:shd w:val="clear" w:color="auto" w:fill="FFFFFF"/>
            <w:vAlign w:val="center"/>
          </w:tcPr>
          <w:p>
            <w:pPr>
              <w:spacing w:before="120" w:after="120"/>
              <w:jc w:val="center"/>
              <w:rPr>
                <w:rFonts w:hint="default" w:hAnsi="等线" w:cs="等线"/>
                <w:color w:val="404040"/>
                <w:sz w:val="20"/>
                <w:szCs w:val="20"/>
                <w:lang w:val="en-US" w:eastAsia="zh-CN" w:bidi="ar"/>
              </w:rPr>
            </w:pPr>
            <w:r>
              <w:rPr>
                <w:rFonts w:hint="default" w:hAnsi="等线" w:cs="等线"/>
                <w:color w:val="404040"/>
                <w:sz w:val="20"/>
                <w:szCs w:val="20"/>
                <w:lang w:val="en-US" w:eastAsia="zh-CN" w:bidi="ar"/>
              </w:rPr>
              <w:t>警戒</w:t>
            </w:r>
          </w:p>
        </w:tc>
      </w:tr>
      <w:tr>
        <w:tblPrEx>
          <w:tblBorders>
            <w:top w:val="single" w:color="416AAB" w:sz="24" w:space="0"/>
            <w:left w:val="single" w:color="416AAB" w:sz="24" w:space="0"/>
            <w:bottom w:val="single" w:color="416AAB" w:sz="24" w:space="0"/>
            <w:right w:val="single" w:color="416AAB" w:sz="24" w:space="0"/>
            <w:insideH w:val="single" w:color="416AAB" w:sz="24" w:space="0"/>
            <w:insideV w:val="single" w:color="416AAB" w:sz="24" w:space="0"/>
          </w:tblBorders>
          <w:tblCellMar>
            <w:top w:w="0" w:type="dxa"/>
            <w:left w:w="0" w:type="dxa"/>
            <w:bottom w:w="0" w:type="dxa"/>
            <w:right w:w="0" w:type="dxa"/>
          </w:tblCellMar>
        </w:tblPrEx>
        <w:trPr>
          <w:trHeight w:val="19" w:hRule="atLeast"/>
          <w:jc w:val="center"/>
        </w:trPr>
        <w:tc>
          <w:tcPr>
            <w:tcW w:w="2700" w:type="dxa"/>
            <w:tcBorders>
              <w:top w:val="single" w:color="EAEAEA" w:sz="8" w:space="0"/>
              <w:left w:val="single" w:color="EAEAEA" w:sz="8" w:space="0"/>
              <w:bottom w:val="single" w:color="EAEAEA" w:sz="8" w:space="0"/>
              <w:right w:val="single" w:color="EAEAEA" w:sz="8" w:space="0"/>
            </w:tcBorders>
            <w:shd w:val="clear" w:color="auto" w:fill="CCDDF3"/>
            <w:vAlign w:val="center"/>
          </w:tcPr>
          <w:p>
            <w:pPr>
              <w:spacing w:before="120" w:after="120"/>
              <w:jc w:val="center"/>
              <w:rPr>
                <w:rFonts w:hAnsi="等线" w:cs="等线"/>
                <w:color w:val="000000"/>
                <w:kern w:val="0"/>
                <w:sz w:val="20"/>
                <w:szCs w:val="20"/>
              </w:rPr>
            </w:pPr>
            <w:r>
              <w:rPr>
                <w:rFonts w:hint="eastAsia" w:hAnsi="等线" w:cs="等线"/>
                <w:color w:val="000000"/>
                <w:kern w:val="0"/>
                <w:sz w:val="20"/>
                <w:szCs w:val="20"/>
              </w:rPr>
              <w:t>总体质量评估</w:t>
            </w:r>
          </w:p>
        </w:tc>
        <w:tc>
          <w:tcPr>
            <w:tcW w:w="6655" w:type="dxa"/>
            <w:gridSpan w:val="3"/>
            <w:tcBorders>
              <w:top w:val="single" w:color="EAEAEA" w:sz="8" w:space="0"/>
              <w:left w:val="single" w:color="EAEAEA" w:sz="8" w:space="0"/>
              <w:bottom w:val="single" w:color="EAEAEA" w:sz="8" w:space="0"/>
              <w:right w:val="single" w:color="EAEAEA" w:sz="8" w:space="0"/>
            </w:tcBorders>
            <w:shd w:val="clear" w:color="auto" w:fill="F2F2F2"/>
            <w:vAlign w:val="center"/>
          </w:tcPr>
          <w:p>
            <w:pPr>
              <w:spacing w:before="120" w:after="120"/>
              <w:jc w:val="center"/>
              <w:rPr>
                <w:rFonts w:hint="default" w:hAnsi="等线" w:cs="等线"/>
                <w:color w:val="404040"/>
                <w:sz w:val="20"/>
                <w:szCs w:val="20"/>
                <w:lang w:val="en-US" w:eastAsia="zh-CN" w:bidi="ar"/>
              </w:rPr>
            </w:pPr>
            <w:r>
              <w:rPr>
                <w:rFonts w:hint="default" w:hAnsi="等线" w:cs="等线"/>
                <w:color w:val="404040"/>
                <w:sz w:val="20"/>
                <w:szCs w:val="20"/>
                <w:lang w:val="en-US" w:eastAsia="zh-CN" w:bidi="ar"/>
              </w:rPr>
              <w:t>警戒</w:t>
            </w:r>
          </w:p>
        </w:tc>
      </w:tr>
    </w:tbl>
    <w:p>
      <w:pPr>
        <w:rPr>
          <w:rFonts w:hAnsi="等线"/>
          <w:b/>
          <w:bCs/>
          <w:szCs w:val="21"/>
        </w:rPr>
      </w:pPr>
    </w:p>
    <w:p>
      <w:pPr>
        <w:spacing w:after="156" w:afterLines="50"/>
        <w:rPr>
          <w:rFonts w:hAnsi="等线"/>
          <w:b/>
          <w:bCs/>
          <w:kern w:val="0"/>
          <w:szCs w:val="21"/>
        </w:rPr>
      </w:pPr>
      <w:r>
        <w:rPr>
          <w:rFonts w:hint="eastAsia" w:hAnsi="等线"/>
          <w:b/>
          <w:bCs/>
          <w:szCs w:val="21"/>
        </w:rPr>
        <w:t>说明：</w:t>
      </w:r>
    </w:p>
    <w:p>
      <w:pPr>
        <w:widowControl/>
        <w:numPr>
          <w:ilvl w:val="0"/>
          <w:numId w:val="7"/>
        </w:numPr>
        <w:spacing w:line="360" w:lineRule="auto"/>
        <w:jc w:val="left"/>
        <w:rPr>
          <w:rFonts w:hAnsi="等线"/>
          <w:sz w:val="18"/>
          <w:szCs w:val="18"/>
        </w:rPr>
      </w:pPr>
      <w:r>
        <w:rPr>
          <w:rFonts w:hAnsi="等线"/>
          <w:sz w:val="18"/>
          <w:szCs w:val="18"/>
        </w:rPr>
        <w:t>碱基质量Q30占比：测序数据中碱基质量在Q30以上（即错误率在千分之一以下）的占比。</w:t>
      </w:r>
    </w:p>
    <w:p>
      <w:pPr>
        <w:widowControl/>
        <w:numPr>
          <w:ilvl w:val="0"/>
          <w:numId w:val="7"/>
        </w:numPr>
        <w:spacing w:line="360" w:lineRule="auto"/>
        <w:jc w:val="left"/>
        <w:rPr>
          <w:rFonts w:hAnsi="等线"/>
          <w:sz w:val="18"/>
          <w:szCs w:val="18"/>
        </w:rPr>
      </w:pPr>
      <w:r>
        <w:rPr>
          <w:rFonts w:hint="eastAsia" w:hAnsi="等线"/>
          <w:sz w:val="18"/>
          <w:szCs w:val="18"/>
        </w:rPr>
        <w:t>平均测序深度：目标基因每个碱基被测到的平均次数。</w:t>
      </w:r>
    </w:p>
    <w:p>
      <w:pPr>
        <w:widowControl/>
        <w:numPr>
          <w:ilvl w:val="0"/>
          <w:numId w:val="7"/>
        </w:numPr>
        <w:spacing w:line="360" w:lineRule="auto"/>
        <w:jc w:val="left"/>
        <w:rPr>
          <w:rFonts w:hAnsi="等线"/>
          <w:sz w:val="18"/>
          <w:szCs w:val="18"/>
        </w:rPr>
      </w:pPr>
      <w:r>
        <w:rPr>
          <w:rFonts w:hint="eastAsia" w:hAnsi="等线"/>
          <w:sz w:val="18"/>
          <w:szCs w:val="18"/>
        </w:rPr>
        <w:t>覆盖均一性：表示达到平均测序深度的0.</w:t>
      </w:r>
      <w:r>
        <w:rPr>
          <w:rFonts w:hAnsi="等线"/>
          <w:sz w:val="18"/>
          <w:szCs w:val="18"/>
        </w:rPr>
        <w:t>2</w:t>
      </w:r>
      <w:r>
        <w:rPr>
          <w:rFonts w:hint="eastAsia" w:hAnsi="等线"/>
          <w:sz w:val="18"/>
          <w:szCs w:val="18"/>
        </w:rPr>
        <w:t>倍的区域占覆盖区域的比例。</w:t>
      </w:r>
    </w:p>
    <w:p>
      <w:pPr>
        <w:widowControl/>
        <w:numPr>
          <w:ilvl w:val="0"/>
          <w:numId w:val="7"/>
        </w:numPr>
        <w:spacing w:line="360" w:lineRule="auto"/>
        <w:jc w:val="left"/>
        <w:rPr>
          <w:rFonts w:hAnsi="等线"/>
          <w:sz w:val="18"/>
          <w:szCs w:val="18"/>
        </w:rPr>
      </w:pPr>
      <w:r>
        <w:rPr>
          <w:rFonts w:hint="eastAsia" w:hAnsi="等线"/>
          <w:sz w:val="18"/>
          <w:szCs w:val="18"/>
        </w:rPr>
        <w:t>总体质量评估：结合以上参数进行综合评估，采取短板效应，分为合格和警戒(风险预警)二个等级。质量警戒可能会影响此次检测的准确性和敏感性。</w:t>
      </w:r>
    </w:p>
    <w:p>
      <w:pPr>
        <w:rPr>
          <w:rFonts w:hAnsi="等线"/>
          <w:szCs w:val="21"/>
        </w:rPr>
      </w:pPr>
      <w:r>
        <w:rPr>
          <w:rFonts w:hAnsi="等线"/>
          <w:szCs w:val="21"/>
        </w:rPr>
        <w:br w:type="page"/>
      </w:r>
    </w:p>
    <w:p/>
    <w:p/>
    <w:p>
      <w:pPr>
        <w:spacing w:before="340" w:line="360" w:lineRule="auto"/>
        <w:jc w:val="left"/>
        <w:outlineLvl w:val="1"/>
        <w:rPr>
          <w:rFonts w:hAnsi="等线" w:cs="Arial"/>
          <w:b/>
          <w:bCs/>
          <w:color w:val="00B0F0"/>
          <w:sz w:val="28"/>
          <w:szCs w:val="28"/>
        </w:rPr>
      </w:pPr>
      <w:bookmarkStart w:id="78" w:name="_Toc89103162"/>
      <w:r>
        <w:rPr>
          <w:rFonts w:hAnsi="等线" w:cs="Arial"/>
          <w:b/>
          <w:bCs/>
          <w:color w:val="00B0F0"/>
          <w:sz w:val="28"/>
          <w:szCs w:val="28"/>
        </w:rPr>
        <w:drawing>
          <wp:anchor distT="0" distB="0" distL="114300" distR="114300" simplePos="0" relativeHeight="251676672" behindDoc="0" locked="0" layoutInCell="1" allowOverlap="1">
            <wp:simplePos x="0" y="0"/>
            <wp:positionH relativeFrom="column">
              <wp:posOffset>88900</wp:posOffset>
            </wp:positionH>
            <wp:positionV relativeFrom="paragraph">
              <wp:posOffset>263525</wp:posOffset>
            </wp:positionV>
            <wp:extent cx="275590" cy="277495"/>
            <wp:effectExtent l="0" t="0" r="13970" b="12065"/>
            <wp:wrapNone/>
            <wp:docPr id="1039" name="图片 55" descr="D:\解码\4x\资源 4@47.png资源 4@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D:\解码\4x\资源 4@47.png资源 4@47"/>
                    <pic:cNvPicPr>
                      <a:picLocks noChangeAspect="1"/>
                    </pic:cNvPicPr>
                  </pic:nvPicPr>
                  <pic:blipFill>
                    <a:blip r:embed="rId16"/>
                    <a:srcRect/>
                    <a:stretch>
                      <a:fillRect/>
                    </a:stretch>
                  </pic:blipFill>
                  <pic:spPr>
                    <a:xfrm>
                      <a:off x="0" y="0"/>
                      <a:ext cx="275590" cy="277495"/>
                    </a:xfrm>
                    <a:prstGeom prst="rect">
                      <a:avLst/>
                    </a:prstGeom>
                  </pic:spPr>
                </pic:pic>
              </a:graphicData>
            </a:graphic>
          </wp:anchor>
        </w:drawing>
      </w:r>
      <w:r>
        <w:rPr>
          <w:rFonts w:hint="eastAsia" w:hAnsi="等线" w:cs="Arial"/>
          <w:b/>
          <w:bCs/>
          <w:color w:val="00B0F0"/>
          <w:sz w:val="28"/>
          <w:szCs w:val="28"/>
        </w:rPr>
        <w:t xml:space="preserve">     </w:t>
      </w:r>
      <w:bookmarkStart w:id="79" w:name="检测方法"/>
      <w:bookmarkEnd w:id="79"/>
      <w:r>
        <w:rPr>
          <w:rFonts w:hint="eastAsia" w:hAnsi="等线" w:cs="Arial"/>
          <w:b/>
          <w:bCs/>
          <w:color w:val="00B0F0"/>
          <w:sz w:val="28"/>
          <w:szCs w:val="28"/>
        </w:rPr>
        <w:t>检测方法</w:t>
      </w:r>
      <w:bookmarkEnd w:id="78"/>
    </w:p>
    <w:p>
      <w:pPr>
        <w:snapToGrid w:val="0"/>
        <w:spacing w:before="148" w:after="148" w:line="360" w:lineRule="auto"/>
        <w:ind w:left="420" w:leftChars="200" w:right="420" w:rightChars="200" w:firstLine="360" w:firstLineChars="200"/>
        <w:jc w:val="left"/>
        <w:rPr>
          <w:rFonts w:hAnsi="等线"/>
          <w:sz w:val="18"/>
          <w:szCs w:val="18"/>
        </w:rPr>
      </w:pPr>
      <w:r>
        <w:rPr>
          <w:rFonts w:hint="eastAsia" w:hAnsi="等线"/>
          <w:sz w:val="18"/>
          <w:szCs w:val="18"/>
        </w:rPr>
        <w:t>本次检测采用目标区域捕获 +</w:t>
      </w:r>
      <w:r>
        <w:rPr>
          <w:rFonts w:hAnsi="等线"/>
          <w:sz w:val="18"/>
          <w:szCs w:val="18"/>
        </w:rPr>
        <w:t xml:space="preserve"> 高通量测序</w:t>
      </w:r>
      <w:r>
        <w:rPr>
          <w:rFonts w:hint="eastAsia" w:hAnsi="等线"/>
          <w:sz w:val="18"/>
          <w:szCs w:val="18"/>
        </w:rPr>
        <w:t>技术对样本进行检测。本次检测可以覆盖目标基因捕获区域的单核苷酸变异、短片段插入或缺失变异、基因拷贝数变异以及探针覆盖范围内的基因重排。</w:t>
      </w:r>
    </w:p>
    <w:p>
      <w:pPr>
        <w:snapToGrid w:val="0"/>
        <w:spacing w:before="148" w:after="148" w:line="360" w:lineRule="auto"/>
        <w:ind w:left="420" w:leftChars="200" w:right="420" w:rightChars="200" w:firstLine="360" w:firstLineChars="200"/>
        <w:jc w:val="left"/>
        <w:rPr>
          <w:rFonts w:hAnsi="等线"/>
          <w:sz w:val="18"/>
          <w:szCs w:val="18"/>
        </w:rPr>
      </w:pPr>
      <w:r>
        <w:rPr>
          <w:rFonts w:hint="eastAsia" w:hAnsi="等线"/>
          <w:sz w:val="18"/>
          <w:szCs w:val="18"/>
        </w:rPr>
        <w:t xml:space="preserve">目标区域捕获 </w:t>
      </w:r>
      <w:r>
        <w:rPr>
          <w:rFonts w:hAnsi="等线"/>
          <w:sz w:val="18"/>
          <w:szCs w:val="18"/>
        </w:rPr>
        <w:t>+ 高通量测序：</w:t>
      </w:r>
      <w:r>
        <w:rPr>
          <w:rFonts w:hint="eastAsia" w:hAnsi="等线"/>
          <w:sz w:val="18"/>
          <w:szCs w:val="18"/>
        </w:rPr>
        <w:t>二代测序（</w:t>
      </w:r>
      <w:r>
        <w:rPr>
          <w:rFonts w:hAnsi="等线"/>
          <w:sz w:val="18"/>
          <w:szCs w:val="18"/>
        </w:rPr>
        <w:t>NGS</w:t>
      </w:r>
      <w:r>
        <w:rPr>
          <w:rFonts w:hint="eastAsia" w:hAnsi="等线"/>
          <w:sz w:val="18"/>
          <w:szCs w:val="18"/>
        </w:rPr>
        <w:t>）</w:t>
      </w:r>
      <w:r>
        <w:rPr>
          <w:rFonts w:hAnsi="等线"/>
          <w:sz w:val="18"/>
          <w:szCs w:val="18"/>
        </w:rPr>
        <w:t>又称大规模平行测序（MPS），</w:t>
      </w:r>
      <w:r>
        <w:rPr>
          <w:rFonts w:hint="eastAsia" w:hAnsi="等线"/>
          <w:sz w:val="18"/>
          <w:szCs w:val="18"/>
        </w:rPr>
        <w:t>能够同时对上百万甚至数十亿个D</w:t>
      </w:r>
      <w:r>
        <w:rPr>
          <w:rFonts w:hAnsi="等线"/>
          <w:sz w:val="18"/>
          <w:szCs w:val="18"/>
        </w:rPr>
        <w:t>NA分子进行测序，实现</w:t>
      </w:r>
      <w:r>
        <w:rPr>
          <w:rFonts w:hint="eastAsia" w:hAnsi="等线"/>
          <w:sz w:val="18"/>
          <w:szCs w:val="18"/>
        </w:rPr>
        <w:t>了大规模、高通量测序的目标，是继</w:t>
      </w:r>
      <w:r>
        <w:rPr>
          <w:rFonts w:hAnsi="等线"/>
          <w:sz w:val="18"/>
          <w:szCs w:val="18"/>
        </w:rPr>
        <w:t>Sanger测序</w:t>
      </w:r>
      <w:r>
        <w:rPr>
          <w:rFonts w:hint="eastAsia" w:hAnsi="等线"/>
          <w:sz w:val="18"/>
          <w:szCs w:val="18"/>
        </w:rPr>
        <w:t>之后</w:t>
      </w:r>
      <w:r>
        <w:rPr>
          <w:rFonts w:hAnsi="等线"/>
          <w:sz w:val="18"/>
          <w:szCs w:val="18"/>
        </w:rPr>
        <w:t>的革命性进步。</w:t>
      </w:r>
      <w:r>
        <w:rPr>
          <w:rFonts w:hint="eastAsia" w:hAnsi="等线"/>
          <w:sz w:val="18"/>
          <w:szCs w:val="18"/>
        </w:rPr>
        <w:t>目前在临床肿瘤实践中，</w:t>
      </w:r>
      <w:r>
        <w:rPr>
          <w:rFonts w:hAnsi="等线"/>
          <w:sz w:val="18"/>
          <w:szCs w:val="18"/>
        </w:rPr>
        <w:t>NGS</w:t>
      </w:r>
      <w:r>
        <w:rPr>
          <w:rFonts w:hint="eastAsia" w:hAnsi="等线"/>
          <w:sz w:val="18"/>
          <w:szCs w:val="18"/>
        </w:rPr>
        <w:t>主要应用于驱动基因测序，是肿瘤精准诊疗的重要环节。</w:t>
      </w:r>
      <w:r>
        <w:rPr>
          <w:rFonts w:hAnsi="等线"/>
          <w:sz w:val="18"/>
          <w:szCs w:val="18"/>
        </w:rPr>
        <w:t>不同厂家的产品测序原理不同，主要</w:t>
      </w:r>
      <w:r>
        <w:rPr>
          <w:rFonts w:hint="eastAsia" w:hAnsi="等线"/>
          <w:sz w:val="18"/>
          <w:szCs w:val="18"/>
        </w:rPr>
        <w:t>分为边合成边测序（</w:t>
      </w:r>
      <w:r>
        <w:rPr>
          <w:rFonts w:hAnsi="等线"/>
          <w:sz w:val="18"/>
          <w:szCs w:val="18"/>
        </w:rPr>
        <w:t>Sequencing by synthesis，SBS）、基于“DNA簇”和“可逆性末端终结</w:t>
      </w:r>
      <w:r>
        <w:rPr>
          <w:rFonts w:hint="eastAsia" w:hAnsi="等线"/>
          <w:sz w:val="18"/>
          <w:szCs w:val="18"/>
        </w:rPr>
        <w:t>（</w:t>
      </w:r>
      <w:r>
        <w:rPr>
          <w:rFonts w:hAnsi="等线"/>
          <w:sz w:val="18"/>
          <w:szCs w:val="18"/>
        </w:rPr>
        <w:t>Reversible Terminator）大规模平行测序、4色荧光标记寡核苷酸的连续连接反应测序和半导体芯片测</w:t>
      </w:r>
      <w:r>
        <w:rPr>
          <w:rFonts w:hint="eastAsia" w:hAnsi="等线"/>
          <w:sz w:val="18"/>
          <w:szCs w:val="18"/>
        </w:rPr>
        <w:t>序。</w:t>
      </w:r>
    </w:p>
    <w:p>
      <w:pPr>
        <w:snapToGrid w:val="0"/>
        <w:spacing w:before="148" w:after="148" w:line="360" w:lineRule="auto"/>
        <w:ind w:left="420" w:leftChars="200" w:right="420" w:rightChars="200" w:firstLine="360" w:firstLineChars="200"/>
        <w:jc w:val="left"/>
        <w:rPr>
          <w:rFonts w:hAnsi="等线"/>
          <w:sz w:val="18"/>
          <w:szCs w:val="18"/>
        </w:rPr>
      </w:pPr>
      <w:r>
        <w:rPr>
          <w:rFonts w:hint="eastAsia" w:hAnsi="等线"/>
          <w:sz w:val="18"/>
          <w:szCs w:val="18"/>
        </w:rPr>
        <w:t>相比传统基因检测方法，</w:t>
      </w:r>
      <w:r>
        <w:rPr>
          <w:rFonts w:hAnsi="等线"/>
          <w:sz w:val="18"/>
          <w:szCs w:val="18"/>
        </w:rPr>
        <w:t>NGS检测有明显的技术优</w:t>
      </w:r>
      <w:r>
        <w:rPr>
          <w:rFonts w:hint="eastAsia" w:hAnsi="等线"/>
          <w:sz w:val="18"/>
          <w:szCs w:val="18"/>
        </w:rPr>
        <w:t>势。</w:t>
      </w:r>
      <w:r>
        <w:rPr>
          <w:rFonts w:hAnsi="等线"/>
          <w:sz w:val="18"/>
          <w:szCs w:val="18"/>
        </w:rPr>
        <w:t>NGS可以一次性、特定时间（约10个工作日）产生覆盖</w:t>
      </w:r>
      <w:r>
        <w:rPr>
          <w:rFonts w:hint="eastAsia" w:hAnsi="等线"/>
          <w:sz w:val="18"/>
          <w:szCs w:val="18"/>
        </w:rPr>
        <w:t>基因组特定区域（从数个基因到数百个基因以至全外显子组或全基因组）的高通量测序数据，在临床诊疗中有重要的应用价值：①</w:t>
      </w:r>
      <w:r>
        <w:rPr>
          <w:rFonts w:hAnsi="等线"/>
          <w:sz w:val="18"/>
          <w:szCs w:val="18"/>
        </w:rPr>
        <w:t>NGS检测可同时检出多个基因的点</w:t>
      </w:r>
      <w:r>
        <w:rPr>
          <w:rFonts w:hint="eastAsia" w:hAnsi="等线"/>
          <w:sz w:val="18"/>
          <w:szCs w:val="18"/>
        </w:rPr>
        <w:t>突变、插入</w:t>
      </w:r>
      <w:r>
        <w:rPr>
          <w:rFonts w:hAnsi="等线"/>
          <w:sz w:val="18"/>
          <w:szCs w:val="18"/>
        </w:rPr>
        <w:t>/缺失、拷贝数变异、基因重排四种变异形式，</w:t>
      </w:r>
      <w:r>
        <w:rPr>
          <w:rFonts w:hint="eastAsia" w:hAnsi="等线"/>
          <w:sz w:val="18"/>
          <w:szCs w:val="18"/>
        </w:rPr>
        <w:t>提供全面的基因突变数据，为初诊晚期肿瘤</w:t>
      </w:r>
      <w:r>
        <w:rPr>
          <w:rFonts w:hAnsi="等线"/>
          <w:sz w:val="18"/>
          <w:szCs w:val="18"/>
        </w:rPr>
        <w:t>患者提供</w:t>
      </w:r>
      <w:r>
        <w:rPr>
          <w:rFonts w:hint="eastAsia" w:hAnsi="等线"/>
          <w:sz w:val="18"/>
          <w:szCs w:val="18"/>
        </w:rPr>
        <w:t>精准用药指导，包括正确选择靶向治疗方案、协助判断是否可使用免疫治疗方案、指导临床试验入组、提供疗效预测信息等；②避免由于单个基因序贯检测带来的样本耗竭和检测时间延长，更加快速地为患者治疗方案选择提供依据；③当患者出现疾病进展时再次进行全面的基因检测，有助于发现潜在的耐药机制，并且全面的基因变异检测信息可以为下一步治疗方案的选择提供依据；④尽管</w:t>
      </w:r>
      <w:r>
        <w:rPr>
          <w:rFonts w:hAnsi="等线"/>
          <w:sz w:val="18"/>
          <w:szCs w:val="18"/>
        </w:rPr>
        <w:t>NGS多基因同时分析的总成本较高，但对比</w:t>
      </w:r>
      <w:r>
        <w:rPr>
          <w:rFonts w:hint="eastAsia" w:hAnsi="等线"/>
          <w:sz w:val="18"/>
          <w:szCs w:val="18"/>
        </w:rPr>
        <w:t>传统检测方法，单个基因单个位点的平均检测费用已大大下降。</w:t>
      </w:r>
    </w:p>
    <w:p>
      <w:r>
        <w:br w:type="page"/>
      </w:r>
    </w:p>
    <w:p/>
    <w:p/>
    <w:p>
      <w:pPr>
        <w:spacing w:before="340" w:line="360" w:lineRule="auto"/>
        <w:jc w:val="left"/>
        <w:outlineLvl w:val="1"/>
        <w:rPr>
          <w:rFonts w:hAnsi="等线" w:cs="Arial"/>
          <w:b/>
          <w:bCs/>
          <w:color w:val="00B0F0"/>
          <w:sz w:val="28"/>
          <w:szCs w:val="28"/>
        </w:rPr>
      </w:pPr>
      <w:bookmarkStart w:id="80" w:name="_Toc89103163"/>
      <w:r>
        <w:rPr>
          <w:rFonts w:hAnsi="等线" w:cs="Arial"/>
          <w:b/>
          <w:bCs/>
          <w:color w:val="00B0F0"/>
          <w:sz w:val="28"/>
          <w:szCs w:val="28"/>
        </w:rPr>
        <w:drawing>
          <wp:anchor distT="0" distB="0" distL="114300" distR="114300" simplePos="0" relativeHeight="251677696" behindDoc="0" locked="0" layoutInCell="1" allowOverlap="1">
            <wp:simplePos x="0" y="0"/>
            <wp:positionH relativeFrom="column">
              <wp:posOffset>88900</wp:posOffset>
            </wp:positionH>
            <wp:positionV relativeFrom="paragraph">
              <wp:posOffset>263525</wp:posOffset>
            </wp:positionV>
            <wp:extent cx="295275" cy="297180"/>
            <wp:effectExtent l="0" t="0" r="9525" b="7620"/>
            <wp:wrapNone/>
            <wp:docPr id="1040" name="图片 58" descr="D:\解码\4x\资源 4@47.png资源 4@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descr="D:\解码\4x\资源 4@47.png资源 4@47"/>
                    <pic:cNvPicPr>
                      <a:picLocks noChangeAspect="1"/>
                    </pic:cNvPicPr>
                  </pic:nvPicPr>
                  <pic:blipFill>
                    <a:blip r:embed="rId16"/>
                    <a:srcRect/>
                    <a:stretch>
                      <a:fillRect/>
                    </a:stretch>
                  </pic:blipFill>
                  <pic:spPr>
                    <a:xfrm>
                      <a:off x="0" y="0"/>
                      <a:ext cx="295275" cy="297180"/>
                    </a:xfrm>
                    <a:prstGeom prst="rect">
                      <a:avLst/>
                    </a:prstGeom>
                  </pic:spPr>
                </pic:pic>
              </a:graphicData>
            </a:graphic>
          </wp:anchor>
        </w:drawing>
      </w:r>
      <w:r>
        <w:rPr>
          <w:rFonts w:hAnsi="等线" w:cs="Arial"/>
          <w:b/>
          <w:bCs/>
          <w:color w:val="00B0F0"/>
          <w:sz w:val="28"/>
          <w:szCs w:val="28"/>
        </w:rPr>
        <w:t xml:space="preserve"> </w:t>
      </w:r>
      <w:r>
        <w:rPr>
          <w:rFonts w:hint="eastAsia" w:hAnsi="等线" w:cs="Arial"/>
          <w:b/>
          <w:bCs/>
          <w:color w:val="00B0F0"/>
          <w:sz w:val="28"/>
          <w:szCs w:val="28"/>
        </w:rPr>
        <w:t xml:space="preserve">    </w:t>
      </w:r>
      <w:bookmarkStart w:id="81" w:name="检测声明"/>
      <w:bookmarkEnd w:id="81"/>
      <w:r>
        <w:rPr>
          <w:rFonts w:hint="eastAsia" w:hAnsi="等线" w:cs="Arial"/>
          <w:b/>
          <w:bCs/>
          <w:color w:val="00B0F0"/>
          <w:sz w:val="28"/>
          <w:szCs w:val="28"/>
        </w:rPr>
        <w:t>检测声明</w:t>
      </w:r>
      <w:bookmarkEnd w:id="80"/>
    </w:p>
    <w:p>
      <w:pPr>
        <w:numPr>
          <w:ilvl w:val="0"/>
          <w:numId w:val="8"/>
        </w:numPr>
        <w:snapToGrid w:val="0"/>
        <w:spacing w:before="148" w:after="148" w:line="360" w:lineRule="auto"/>
        <w:ind w:left="777" w:leftChars="200" w:right="420" w:rightChars="200" w:hanging="357"/>
        <w:jc w:val="left"/>
        <w:rPr>
          <w:rFonts w:hAnsi="等线"/>
          <w:sz w:val="18"/>
          <w:szCs w:val="18"/>
        </w:rPr>
      </w:pPr>
      <w:r>
        <w:rPr>
          <w:rFonts w:hAnsi="等线"/>
          <w:sz w:val="18"/>
          <w:szCs w:val="18"/>
        </w:rPr>
        <w:t>此报告仅对送检样本负责，结果仅供临床医生参考。由于临床场景及肿瘤的复杂性，本报告不能承诺或保证任何特定药物或治疗方案在</w:t>
      </w:r>
      <w:r>
        <w:rPr>
          <w:rFonts w:hint="eastAsia" w:hAnsi="等线"/>
          <w:sz w:val="18"/>
          <w:szCs w:val="18"/>
        </w:rPr>
        <w:t>任意</w:t>
      </w:r>
      <w:r>
        <w:rPr>
          <w:rFonts w:hAnsi="等线"/>
          <w:sz w:val="18"/>
          <w:szCs w:val="18"/>
        </w:rPr>
        <w:t>患者中的有效性或毒副作用。</w:t>
      </w:r>
    </w:p>
    <w:p>
      <w:pPr>
        <w:numPr>
          <w:ilvl w:val="0"/>
          <w:numId w:val="8"/>
        </w:numPr>
        <w:snapToGrid w:val="0"/>
        <w:spacing w:before="148" w:after="148" w:line="360" w:lineRule="auto"/>
        <w:ind w:left="777" w:leftChars="200" w:right="420" w:rightChars="200" w:hanging="357"/>
        <w:jc w:val="left"/>
        <w:rPr>
          <w:rFonts w:hAnsi="等线"/>
          <w:sz w:val="18"/>
          <w:szCs w:val="18"/>
        </w:rPr>
      </w:pPr>
      <w:r>
        <w:rPr>
          <w:rFonts w:hint="eastAsia" w:hAnsi="等线"/>
          <w:sz w:val="18"/>
          <w:szCs w:val="18"/>
        </w:rPr>
        <w:t>N</w:t>
      </w:r>
      <w:r>
        <w:rPr>
          <w:rFonts w:hAnsi="等线"/>
          <w:sz w:val="18"/>
          <w:szCs w:val="18"/>
        </w:rPr>
        <w:t>GS</w:t>
      </w:r>
      <w:r>
        <w:rPr>
          <w:rFonts w:hint="eastAsia" w:hAnsi="等线"/>
          <w:sz w:val="18"/>
          <w:szCs w:val="18"/>
        </w:rPr>
        <w:t>已成为中国临床肿瘤医生常用检测工具之一，同时作为一类分子检测技术，必然存在一定的局限性，某些变异可能因为检测方法本身的局限性而无法确定其真实性；检测下限的存在一定程度上可能会导致阴性结果，但</w:t>
      </w:r>
      <w:r>
        <w:rPr>
          <w:rFonts w:hAnsi="等线"/>
          <w:sz w:val="18"/>
          <w:szCs w:val="18"/>
        </w:rPr>
        <w:t>在某些临床场景中，检测结果阴性的患者使用针对相应靶点的药物也可能有较好的响应，因此在特定临床场景中阴性患者也可尝试使用相应靶向药物</w:t>
      </w:r>
      <w:r>
        <w:rPr>
          <w:rFonts w:hint="eastAsia" w:hAnsi="等线"/>
          <w:sz w:val="18"/>
          <w:szCs w:val="18"/>
        </w:rPr>
        <w:t>。</w:t>
      </w:r>
    </w:p>
    <w:p>
      <w:pPr>
        <w:numPr>
          <w:ilvl w:val="0"/>
          <w:numId w:val="8"/>
        </w:numPr>
        <w:snapToGrid w:val="0"/>
        <w:spacing w:before="148" w:after="148" w:line="360" w:lineRule="auto"/>
        <w:ind w:left="777" w:leftChars="200" w:right="420" w:rightChars="200" w:hanging="357"/>
        <w:jc w:val="left"/>
        <w:rPr>
          <w:rFonts w:hAnsi="等线"/>
          <w:sz w:val="18"/>
          <w:szCs w:val="18"/>
        </w:rPr>
      </w:pPr>
      <w:r>
        <w:rPr>
          <w:rFonts w:hint="eastAsia" w:hAnsi="等线"/>
          <w:sz w:val="18"/>
          <w:szCs w:val="18"/>
        </w:rPr>
        <w:t>本检测可报告的变异，包括DNA水平的单核苷酸变异、小片段插入/缺失变异，基于</w:t>
      </w:r>
      <w:r>
        <w:rPr>
          <w:rFonts w:hAnsi="等线"/>
          <w:sz w:val="18"/>
          <w:szCs w:val="18"/>
        </w:rPr>
        <w:t>NGS</w:t>
      </w:r>
      <w:r>
        <w:rPr>
          <w:rFonts w:hint="eastAsia" w:hAnsi="等线"/>
          <w:sz w:val="18"/>
          <w:szCs w:val="18"/>
        </w:rPr>
        <w:t>数据的部分基因/区域的拷贝数异常，以及部分基因的常见融合/重排等。基因及探针等某些特殊区域可能因为技术本身问题而无法确认其真实性时，建议采用其它方法进行验证。</w:t>
      </w:r>
    </w:p>
    <w:p>
      <w:pPr>
        <w:numPr>
          <w:ilvl w:val="0"/>
          <w:numId w:val="8"/>
        </w:numPr>
        <w:snapToGrid w:val="0"/>
        <w:spacing w:before="148" w:after="148" w:line="360" w:lineRule="auto"/>
        <w:ind w:left="777" w:leftChars="200" w:right="420" w:rightChars="200" w:hanging="357"/>
        <w:jc w:val="left"/>
        <w:rPr>
          <w:rFonts w:hAnsi="等线"/>
          <w:sz w:val="18"/>
          <w:szCs w:val="18"/>
        </w:rPr>
      </w:pPr>
      <w:r>
        <w:rPr>
          <w:rFonts w:hAnsi="等线"/>
          <w:sz w:val="18"/>
          <w:szCs w:val="18"/>
        </w:rPr>
        <w:t>标本的某些特征会影响检验结果的质量，例如，肿瘤组织基因突变的检验受到肿瘤细胞与正常细胞比例的影响；由于肿瘤异质性的存在，组织活检的结果受到取材部位的影响。因此本检测结果在临床实践中可能会受到肿瘤动态变化和异质性的限制，可能需要</w:t>
      </w:r>
      <w:r>
        <w:rPr>
          <w:rFonts w:hint="eastAsia" w:hAnsi="等线"/>
          <w:sz w:val="18"/>
          <w:szCs w:val="18"/>
        </w:rPr>
        <w:t>来自</w:t>
      </w:r>
      <w:r>
        <w:rPr>
          <w:rFonts w:hAnsi="等线"/>
          <w:sz w:val="18"/>
          <w:szCs w:val="18"/>
        </w:rPr>
        <w:t>不同时间的多个区域的连续活检以全面鉴定肿瘤驱动基因突变特征。</w:t>
      </w:r>
      <w:r>
        <w:rPr>
          <w:rFonts w:hint="eastAsia" w:hAnsi="等线"/>
          <w:sz w:val="18"/>
          <w:szCs w:val="18"/>
        </w:rPr>
        <w:t>本检测仅反映送检样本在采集当时患者的基因变异状态，并对其结果负责。</w:t>
      </w:r>
    </w:p>
    <w:p>
      <w:pPr>
        <w:numPr>
          <w:ilvl w:val="0"/>
          <w:numId w:val="8"/>
        </w:numPr>
        <w:snapToGrid w:val="0"/>
        <w:spacing w:before="148" w:after="148" w:line="360" w:lineRule="auto"/>
        <w:ind w:left="777" w:leftChars="200" w:right="420" w:rightChars="200" w:hanging="357"/>
        <w:jc w:val="left"/>
        <w:rPr>
          <w:rFonts w:hAnsi="等线"/>
          <w:sz w:val="18"/>
          <w:szCs w:val="18"/>
        </w:rPr>
      </w:pPr>
      <w:r>
        <w:rPr>
          <w:rFonts w:hint="eastAsia" w:hAnsi="等线"/>
          <w:sz w:val="18"/>
          <w:szCs w:val="18"/>
        </w:rPr>
        <w:t>由于本样本未送检外周血</w:t>
      </w:r>
      <w:r>
        <w:rPr>
          <w:rFonts w:hint="eastAsia" w:hAnsi="等线"/>
          <w:sz w:val="18"/>
          <w:szCs w:val="18"/>
          <w:lang w:val="en-US" w:eastAsia="zh-CN"/>
        </w:rPr>
        <w:t>对照样本</w:t>
      </w:r>
      <w:r>
        <w:rPr>
          <w:rFonts w:hint="eastAsia" w:hAnsi="等线"/>
          <w:sz w:val="18"/>
          <w:szCs w:val="18"/>
        </w:rPr>
        <w:t>，无法完全</w:t>
      </w:r>
      <w:r>
        <w:rPr>
          <w:rFonts w:hint="eastAsia" w:hAnsi="等线"/>
          <w:sz w:val="18"/>
          <w:szCs w:val="18"/>
          <w:lang w:val="en-US" w:eastAsia="zh-CN"/>
        </w:rPr>
        <w:t>确认</w:t>
      </w:r>
      <w:r>
        <w:rPr>
          <w:rFonts w:hint="eastAsia" w:hAnsi="等线"/>
          <w:sz w:val="18"/>
          <w:szCs w:val="18"/>
        </w:rPr>
        <w:t>突变是否为胚系变异</w:t>
      </w:r>
      <w:r>
        <w:rPr>
          <w:rFonts w:hint="eastAsia" w:hAnsi="等线"/>
          <w:sz w:val="18"/>
          <w:szCs w:val="18"/>
          <w:lang w:eastAsia="zh-CN"/>
        </w:rPr>
        <w:t>。</w:t>
      </w:r>
      <w:r>
        <w:rPr>
          <w:rFonts w:hint="eastAsia" w:hAnsi="等线"/>
          <w:sz w:val="18"/>
          <w:szCs w:val="18"/>
          <w:lang w:val="en-US" w:eastAsia="zh-CN"/>
        </w:rPr>
        <w:t>对于遗传性胚系变异的检测结果，</w:t>
      </w:r>
      <w:r>
        <w:rPr>
          <w:rFonts w:hint="eastAsia" w:hAnsi="等线"/>
          <w:sz w:val="18"/>
          <w:szCs w:val="18"/>
        </w:rPr>
        <w:t>建议临床医生结合患者家族史</w:t>
      </w:r>
      <w:r>
        <w:rPr>
          <w:rFonts w:hint="eastAsia" w:hAnsi="等线"/>
          <w:sz w:val="18"/>
          <w:szCs w:val="18"/>
          <w:lang w:eastAsia="zh-CN"/>
        </w:rPr>
        <w:t>、</w:t>
      </w:r>
      <w:r>
        <w:rPr>
          <w:rFonts w:hint="eastAsia" w:hAnsi="等线"/>
          <w:sz w:val="18"/>
          <w:szCs w:val="18"/>
          <w:lang w:val="en-US" w:eastAsia="zh-CN"/>
        </w:rPr>
        <w:t>病理诊断</w:t>
      </w:r>
      <w:r>
        <w:rPr>
          <w:rFonts w:hint="eastAsia" w:hAnsi="等线"/>
          <w:sz w:val="18"/>
          <w:szCs w:val="18"/>
        </w:rPr>
        <w:t>等信息，谨慎参考</w:t>
      </w:r>
      <w:r>
        <w:rPr>
          <w:rFonts w:hint="eastAsia" w:hAnsi="等线"/>
          <w:sz w:val="18"/>
          <w:szCs w:val="18"/>
          <w:lang w:val="en-US" w:eastAsia="zh-CN"/>
        </w:rPr>
        <w:t>本报告</w:t>
      </w:r>
      <w:r>
        <w:rPr>
          <w:rFonts w:hint="eastAsia" w:hAnsi="等线"/>
          <w:sz w:val="18"/>
          <w:szCs w:val="18"/>
        </w:rPr>
        <w:t>。必要时，可送检外周血</w:t>
      </w:r>
      <w:r>
        <w:rPr>
          <w:rFonts w:hint="eastAsia" w:hAnsi="等线"/>
          <w:sz w:val="18"/>
          <w:szCs w:val="18"/>
          <w:lang w:val="en-US" w:eastAsia="zh-CN"/>
        </w:rPr>
        <w:t>对照样本</w:t>
      </w:r>
      <w:r>
        <w:rPr>
          <w:rFonts w:hint="eastAsia" w:hAnsi="等线"/>
          <w:sz w:val="18"/>
          <w:szCs w:val="18"/>
        </w:rPr>
        <w:t>，</w:t>
      </w:r>
      <w:r>
        <w:rPr>
          <w:rFonts w:hint="eastAsia" w:hAnsi="等线"/>
          <w:sz w:val="18"/>
          <w:szCs w:val="18"/>
          <w:lang w:val="en-US" w:eastAsia="zh-CN"/>
        </w:rPr>
        <w:t>进一步</w:t>
      </w:r>
      <w:r>
        <w:rPr>
          <w:rFonts w:hint="eastAsia" w:hAnsi="等线"/>
          <w:sz w:val="18"/>
          <w:szCs w:val="18"/>
        </w:rPr>
        <w:t>排除胚系变异的可能。</w:t>
      </w:r>
    </w:p>
    <w:p>
      <w:pPr>
        <w:numPr>
          <w:ilvl w:val="0"/>
          <w:numId w:val="8"/>
        </w:numPr>
        <w:snapToGrid w:val="0"/>
        <w:spacing w:before="148" w:after="148" w:line="360" w:lineRule="auto"/>
        <w:ind w:left="777" w:leftChars="200" w:right="420" w:rightChars="200" w:hanging="357"/>
        <w:jc w:val="left"/>
        <w:rPr>
          <w:rFonts w:hAnsi="等线"/>
          <w:sz w:val="18"/>
          <w:szCs w:val="18"/>
        </w:rPr>
      </w:pPr>
      <w:r>
        <w:rPr>
          <w:rFonts w:hint="eastAsia" w:hAnsi="等线"/>
          <w:sz w:val="18"/>
          <w:szCs w:val="18"/>
        </w:rPr>
        <w:t>本报告仅为科研性质报告，所得结论来自于目前学术最前沿的研究进展，不具备医嘱性质，具体的治疗方案须由临床医生决定。</w:t>
      </w:r>
      <w:r>
        <w:rPr>
          <w:rFonts w:hAnsi="等线"/>
          <w:sz w:val="18"/>
          <w:szCs w:val="18"/>
        </w:rPr>
        <w:t>对本检测报告中所列药物的选择权属于受检者的主管医生，应根据患者的病情进展及体质状况、用药史而不是</w:t>
      </w:r>
      <w:r>
        <w:rPr>
          <w:rFonts w:hint="eastAsia" w:hAnsi="等线"/>
          <w:sz w:val="18"/>
          <w:szCs w:val="18"/>
        </w:rPr>
        <w:t>仅</w:t>
      </w:r>
      <w:r>
        <w:rPr>
          <w:rFonts w:hAnsi="等线"/>
          <w:sz w:val="18"/>
          <w:szCs w:val="18"/>
        </w:rPr>
        <w:t>依据单项检测的结果做出医疗决策。本报告包含的信息在生成报告时均为最新版本，随着新的医学研究或临床发现的涌现，相关信息随时可能发生变化。在某些情况下，之前的信息可能会在临床意义上重新归类或对应于新的推荐药物。</w:t>
      </w:r>
    </w:p>
    <w:p>
      <w:pPr>
        <w:numPr>
          <w:ilvl w:val="0"/>
          <w:numId w:val="8"/>
        </w:numPr>
        <w:snapToGrid w:val="0"/>
        <w:spacing w:before="148" w:after="148" w:line="360" w:lineRule="auto"/>
        <w:ind w:left="777" w:leftChars="200" w:right="420" w:rightChars="200" w:hanging="357"/>
        <w:jc w:val="left"/>
        <w:rPr>
          <w:rFonts w:hAnsi="等线"/>
          <w:sz w:val="18"/>
          <w:szCs w:val="18"/>
        </w:rPr>
      </w:pPr>
      <w:r>
        <w:rPr>
          <w:rFonts w:hAnsi="等线"/>
          <w:sz w:val="18"/>
          <w:szCs w:val="18"/>
        </w:rPr>
        <w:t>基因检测报告属于患者个人隐私信息，若非患者本人知情同意，禁止向任何人或机构复制或传送本报告内容。</w:t>
      </w:r>
    </w:p>
    <w:p>
      <w:pPr>
        <w:numPr>
          <w:ilvl w:val="0"/>
          <w:numId w:val="8"/>
        </w:numPr>
        <w:snapToGrid w:val="0"/>
        <w:spacing w:before="148" w:after="148" w:line="360" w:lineRule="auto"/>
        <w:ind w:left="777" w:leftChars="200" w:right="420" w:rightChars="200" w:hanging="357"/>
        <w:jc w:val="left"/>
        <w:rPr>
          <w:rFonts w:hAnsi="等线"/>
          <w:sz w:val="18"/>
          <w:szCs w:val="18"/>
        </w:rPr>
      </w:pPr>
      <w:r>
        <w:rPr>
          <w:rFonts w:hAnsi="等线"/>
          <w:sz w:val="18"/>
          <w:szCs w:val="18"/>
        </w:rPr>
        <w:t>本样本有一定保存期限，若对报告结果有疑问，请</w:t>
      </w:r>
      <w:r>
        <w:rPr>
          <w:rFonts w:hint="eastAsia" w:hAnsi="等线"/>
          <w:sz w:val="18"/>
          <w:szCs w:val="18"/>
        </w:rPr>
        <w:t>于</w:t>
      </w:r>
      <w:r>
        <w:rPr>
          <w:rFonts w:hAnsi="等线"/>
          <w:sz w:val="18"/>
          <w:szCs w:val="18"/>
        </w:rPr>
        <w:t>报告日起15天内提出异议及复检申请，逾期不再受理</w:t>
      </w:r>
      <w:r>
        <w:rPr>
          <w:rFonts w:hint="eastAsia" w:hAnsi="等线"/>
          <w:sz w:val="18"/>
          <w:szCs w:val="18"/>
        </w:rPr>
        <w:t>且</w:t>
      </w:r>
      <w:r>
        <w:rPr>
          <w:rFonts w:hAnsi="等线"/>
          <w:sz w:val="18"/>
          <w:szCs w:val="18"/>
        </w:rPr>
        <w:t>视为验收合格。</w:t>
      </w:r>
    </w:p>
    <w:p>
      <w:pPr>
        <w:snapToGrid w:val="0"/>
        <w:spacing w:line="276" w:lineRule="auto"/>
        <w:jc w:val="left"/>
        <w:rPr>
          <w:rFonts w:hAnsi="等线"/>
          <w:szCs w:val="21"/>
        </w:rPr>
      </w:pPr>
    </w:p>
    <w:p>
      <w:pPr>
        <w:snapToGrid w:val="0"/>
        <w:spacing w:line="276" w:lineRule="auto"/>
        <w:jc w:val="left"/>
        <w:rPr>
          <w:rFonts w:hAnsi="等线"/>
        </w:rPr>
      </w:pPr>
    </w:p>
    <w:tbl>
      <w:tblPr>
        <w:tblStyle w:val="21"/>
        <w:tblW w:w="375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3710"/>
        <w:gridCol w:w="368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4814" w:type="dxa"/>
          </w:tcPr>
          <w:p>
            <w:pPr>
              <w:snapToGrid w:val="0"/>
              <w:spacing w:before="120" w:after="120" w:line="300" w:lineRule="auto"/>
              <w:jc w:val="left"/>
              <w:rPr>
                <w:rFonts w:hAnsi="等线"/>
                <w:szCs w:val="21"/>
              </w:rPr>
            </w:pPr>
            <w:r>
              <w:rPr>
                <w:rFonts w:hint="eastAsia" w:hAnsi="等线"/>
                <w:szCs w:val="21"/>
              </w:rPr>
              <w:t>检测人：</w:t>
            </w:r>
          </w:p>
        </w:tc>
        <w:tc>
          <w:tcPr>
            <w:tcW w:w="4814" w:type="dxa"/>
          </w:tcPr>
          <w:p>
            <w:pPr>
              <w:snapToGrid w:val="0"/>
              <w:spacing w:before="120" w:after="120" w:line="300" w:lineRule="auto"/>
              <w:jc w:val="left"/>
              <w:rPr>
                <w:rFonts w:hAnsi="等线"/>
                <w:szCs w:val="21"/>
              </w:rPr>
            </w:pPr>
            <w:r>
              <w:rPr>
                <w:rFonts w:hint="eastAsia" w:hAnsi="等线"/>
                <w:szCs w:val="21"/>
              </w:rPr>
              <w:t>审核人：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4814" w:type="dxa"/>
          </w:tcPr>
          <w:p>
            <w:pPr>
              <w:snapToGrid w:val="0"/>
              <w:spacing w:before="120" w:after="120" w:line="300" w:lineRule="auto"/>
              <w:jc w:val="left"/>
              <w:rPr>
                <w:rFonts w:hint="eastAsia" w:hAnsi="等线" w:eastAsia="等线"/>
                <w:szCs w:val="21"/>
                <w:lang w:eastAsia="zh-CN"/>
              </w:rPr>
            </w:pPr>
            <w:r>
              <w:rPr>
                <w:rFonts w:hint="eastAsia" w:hAnsi="等线"/>
                <w:szCs w:val="21"/>
              </w:rPr>
              <w:t>检测日期：</w:t>
            </w:r>
            <w:r>
              <w:rPr>
                <w:rFonts w:hint="eastAsia" w:hAnsi="等线"/>
                <w:szCs w:val="21"/>
                <w:lang w:eastAsia="zh-CN" w:bidi="ar"/>
              </w:rPr>
              <w:t xml:space="preserve">2023-03-25</w:t>
            </w:r>
          </w:p>
        </w:tc>
        <w:tc>
          <w:tcPr>
            <w:tcW w:w="4814" w:type="dxa"/>
          </w:tcPr>
          <w:p>
            <w:pPr>
              <w:snapToGrid w:val="0"/>
              <w:spacing w:before="120" w:after="120" w:line="300" w:lineRule="auto"/>
              <w:jc w:val="left"/>
              <w:rPr>
                <w:rFonts w:hint="eastAsia" w:hAnsi="等线" w:eastAsia="等线"/>
                <w:szCs w:val="21"/>
                <w:lang w:eastAsia="zh-CN"/>
              </w:rPr>
            </w:pPr>
            <w:r>
              <w:rPr>
                <w:rFonts w:hint="eastAsia" w:hAnsi="等线"/>
                <w:szCs w:val="21"/>
              </w:rPr>
              <w:t>审核日期：</w:t>
            </w:r>
            <w:r>
              <w:rPr>
                <w:rFonts w:hint="eastAsia" w:hAnsi="等线"/>
                <w:szCs w:val="21"/>
                <w:lang w:eastAsia="zh-CN" w:bidi="ar"/>
              </w:rPr>
              <w:t xml:space="preserve">2023-07-31</w:t>
            </w:r>
          </w:p>
        </w:tc>
      </w:tr>
    </w:tbl>
    <w:p>
      <w:pPr>
        <w:rPr>
          <w:rFonts w:hAnsi="等线"/>
          <w:szCs w:val="21"/>
        </w:rPr>
      </w:pPr>
      <w:r>
        <w:rPr>
          <w:rFonts w:hAnsi="等线"/>
          <w:szCs w:val="21"/>
        </w:rPr>
        <w:br w:type="page"/>
      </w:r>
    </w:p>
    <w:p>
      <w:pPr>
        <w:pStyle w:val="2"/>
        <w:spacing w:after="0"/>
        <w:jc w:val="center"/>
        <w:rPr>
          <w:rFonts w:hAnsi="等线"/>
          <w:color w:val="00B0F0"/>
          <w:sz w:val="40"/>
          <w:szCs w:val="40"/>
        </w:rPr>
      </w:pPr>
      <w:bookmarkStart w:id="82" w:name="_Ref80948838"/>
      <w:bookmarkStart w:id="83" w:name="_Toc81378421"/>
      <w:bookmarkStart w:id="84" w:name="_Toc89103164"/>
      <w:bookmarkStart w:id="85" w:name="_Ref80371497"/>
      <w:r>
        <w:rPr>
          <w:rFonts w:hAnsi="等线"/>
          <w:color w:val="00B0F0"/>
          <w:sz w:val="40"/>
          <w:szCs w:val="40"/>
        </w:rPr>
        <w:t>Part 5</w:t>
      </w:r>
      <w:bookmarkStart w:id="86" w:name="Part5：附录"/>
      <w:bookmarkEnd w:id="86"/>
      <w:r>
        <w:rPr>
          <w:rFonts w:hAnsi="等线"/>
          <w:color w:val="00B0F0"/>
          <w:sz w:val="40"/>
          <w:szCs w:val="40"/>
        </w:rPr>
        <w:t>: 附录</w:t>
      </w:r>
      <w:bookmarkEnd w:id="82"/>
      <w:bookmarkEnd w:id="83"/>
      <w:bookmarkEnd w:id="84"/>
      <w:bookmarkEnd w:id="85"/>
      <w:bookmarkStart w:id="87" w:name="_Ref80371507"/>
      <w:bookmarkStart w:id="88" w:name="_Toc81378423"/>
      <w:bookmarkStart w:id="89" w:name="_Toc89103165"/>
    </w:p>
    <w:bookmarkEnd w:id="87"/>
    <w:bookmarkEnd w:id="88"/>
    <w:p>
      <w:pPr>
        <w:spacing w:before="340" w:line="360" w:lineRule="auto"/>
        <w:ind w:firstLine="600" w:firstLineChars="200"/>
        <w:jc w:val="left"/>
        <w:outlineLvl w:val="1"/>
        <w:rPr>
          <w:rFonts w:hint="eastAsia" w:hAnsi="等线" w:cs="Arial"/>
          <w:b/>
          <w:bCs/>
          <w:color w:val="00B0F0"/>
          <w:sz w:val="30"/>
          <w:szCs w:val="30"/>
        </w:rPr>
      </w:pPr>
      <w:bookmarkStart w:id="90" w:name="基因列表"/>
      <w:bookmarkEnd w:id="90"/>
      <w:r>
        <w:rPr>
          <w:rFonts w:hint="eastAsia" w:hAnsi="等线" w:cs="Arial"/>
          <w:b/>
          <w:bCs/>
          <w:color w:val="00B0F0"/>
          <w:sz w:val="30"/>
          <w:szCs w:val="30"/>
        </w:rPr>
        <w:drawing>
          <wp:anchor distT="0" distB="0" distL="114300" distR="114300" simplePos="0" relativeHeight="251678720" behindDoc="0" locked="0" layoutInCell="1" allowOverlap="1">
            <wp:simplePos x="0" y="0"/>
            <wp:positionH relativeFrom="column">
              <wp:posOffset>71755</wp:posOffset>
            </wp:positionH>
            <wp:positionV relativeFrom="paragraph">
              <wp:posOffset>266065</wp:posOffset>
            </wp:positionV>
            <wp:extent cx="295275" cy="297180"/>
            <wp:effectExtent l="0" t="0" r="9525" b="7620"/>
            <wp:wrapNone/>
            <wp:docPr id="1041" name="图片 68" descr="D:\解码\4x\资源 4@47.png资源 4@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descr="D:\解码\4x\资源 4@47.png资源 4@47"/>
                    <pic:cNvPicPr>
                      <a:picLocks noChangeAspect="1"/>
                    </pic:cNvPicPr>
                  </pic:nvPicPr>
                  <pic:blipFill>
                    <a:blip r:embed="rId16"/>
                    <a:srcRect/>
                    <a:stretch>
                      <a:fillRect/>
                    </a:stretch>
                  </pic:blipFill>
                  <pic:spPr>
                    <a:xfrm>
                      <a:off x="0" y="0"/>
                      <a:ext cx="295275" cy="297180"/>
                    </a:xfrm>
                    <a:prstGeom prst="rect">
                      <a:avLst/>
                    </a:prstGeom>
                  </pic:spPr>
                </pic:pic>
              </a:graphicData>
            </a:graphic>
          </wp:anchor>
        </w:drawing>
      </w:r>
      <w:r>
        <w:rPr>
          <w:rFonts w:hint="eastAsia" w:hAnsi="等线" w:cs="Arial"/>
          <w:b/>
          <w:bCs/>
          <w:color w:val="00B0F0"/>
          <w:sz w:val="30"/>
          <w:szCs w:val="30"/>
        </w:rPr>
        <w:t>基因</w:t>
      </w:r>
      <w:r>
        <w:rPr>
          <w:rFonts w:hint="eastAsia" w:hAnsi="等线" w:cs="Arial"/>
          <w:b/>
          <w:bCs/>
          <w:color w:val="00B0F0"/>
          <w:sz w:val="30"/>
          <w:szCs w:val="30"/>
          <w:lang w:val="en-US" w:eastAsia="zh-CN"/>
        </w:rPr>
        <w:t>检测</w:t>
      </w:r>
      <w:r>
        <w:rPr>
          <w:rFonts w:hint="eastAsia" w:hAnsi="等线" w:cs="Arial"/>
          <w:b/>
          <w:bCs/>
          <w:color w:val="00B0F0"/>
          <w:sz w:val="30"/>
          <w:szCs w:val="30"/>
        </w:rPr>
        <w:t>列表</w:t>
      </w:r>
      <w:bookmarkEnd w:id="89"/>
      <w:r>
        <w:rPr>
          <w:rFonts w:hint="eastAsia" w:hAnsi="等线" w:cs="Arial"/>
          <w:b/>
          <w:bCs/>
          <w:color w:val="00B0F0"/>
          <w:sz w:val="30"/>
          <w:szCs w:val="30"/>
        </w:rPr>
        <mc:AlternateContent>
          <mc:Choice Requires="wps">
            <w:drawing>
              <wp:anchor distT="0" distB="0" distL="114300" distR="114300" simplePos="0" relativeHeight="251671552" behindDoc="0" locked="0" layoutInCell="1" allowOverlap="1">
                <wp:simplePos x="0" y="0"/>
                <wp:positionH relativeFrom="column">
                  <wp:posOffset>1242060</wp:posOffset>
                </wp:positionH>
                <wp:positionV relativeFrom="paragraph">
                  <wp:posOffset>-530225</wp:posOffset>
                </wp:positionV>
                <wp:extent cx="3726180" cy="561975"/>
                <wp:effectExtent l="12700" t="12700" r="25400" b="19685"/>
                <wp:wrapNone/>
                <wp:docPr id="1042" name="圆角矩形 7"/>
                <wp:cNvGraphicFramePr/>
                <a:graphic xmlns:a="http://schemas.openxmlformats.org/drawingml/2006/main">
                  <a:graphicData uri="http://schemas.microsoft.com/office/word/2010/wordprocessingShape">
                    <wps:wsp>
                      <wps:cNvSpPr/>
                      <wps:spPr>
                        <a:xfrm>
                          <a:off x="0" y="0"/>
                          <a:ext cx="3726180" cy="561975"/>
                        </a:xfrm>
                        <a:prstGeom prst="roundRect">
                          <a:avLst/>
                        </a:prstGeom>
                        <a:noFill/>
                        <a:ln w="25400">
                          <a:solidFill>
                            <a:srgbClr val="00B0F0"/>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id="圆角矩形 7" o:spid="_x0000_s1026" o:spt="2" style="position:absolute;left:0pt;margin-left:97.8pt;margin-top:-41.75pt;height:44.25pt;width:293.4pt;z-index:251671552;v-text-anchor:middle;mso-width-relative:page;mso-height-relative:page;" filled="f" stroked="t" coordsize="21600,21600" arcsize="0.166666666666667" o:gfxdata="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">
                <v:fill on="f" focussize="0,0"/>
                <v:stroke weight="2pt" color="#00B0F0 [3204]" miterlimit="8" joinstyle="miter"/>
                <v:imagedata o:title=""/>
                <o:lock v:ext="edit" aspectratio="f"/>
                <v:textbox>
                  <w:txbxContent>
                    <w:p>
                      <w:pPr>
                        <w:jc w:val="center"/>
                      </w:pPr>
                    </w:p>
                  </w:txbxContent>
                </v:textbox>
              </v:roundrect>
            </w:pict>
          </mc:Fallback>
        </mc:AlternateContent>
      </w:r>
    </w:p>
    <w:p>
      <w:r>
        <w:rPr>
          <w:sz w:val="21"/>
        </w:rPr>
        <mc:AlternateContent>
          <mc:Choice Requires="wps">
            <w:drawing>
              <wp:anchor distT="0" distB="0" distL="114300" distR="114300" simplePos="0" relativeHeight="251704320" behindDoc="0" locked="0" layoutInCell="1" allowOverlap="1">
                <wp:simplePos x="0" y="0"/>
                <wp:positionH relativeFrom="column">
                  <wp:posOffset>3005455</wp:posOffset>
                </wp:positionH>
                <wp:positionV relativeFrom="paragraph">
                  <wp:posOffset>22225</wp:posOffset>
                </wp:positionV>
                <wp:extent cx="3312160" cy="810895"/>
                <wp:effectExtent l="0" t="0" r="0" b="0"/>
                <wp:wrapNone/>
                <wp:docPr id="1043" name="文本框 11"/>
                <wp:cNvGraphicFramePr/>
                <a:graphic xmlns:a="http://schemas.openxmlformats.org/drawingml/2006/main">
                  <a:graphicData uri="http://schemas.microsoft.com/office/word/2010/wordprocessingShape">
                    <wps:wsp>
                      <wps:cNvSpPr txBox="1"/>
                      <wps:spPr>
                        <a:xfrm>
                          <a:off x="1097280" y="4558030"/>
                          <a:ext cx="3312160" cy="81089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tbl>
                            <w:tblPr>
                              <w:tblStyle w:val="58"/>
                              <w:tblW w:w="4637"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948"/>
                              <w:gridCol w:w="948"/>
                              <w:gridCol w:w="949"/>
                              <w:gridCol w:w="949"/>
                              <w:gridCol w:w="952"/>
                              <w:gridCol w:w="1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5000" w:type="pct"/>
                                  <w:gridSpan w:val="6"/>
                                  <w:tcBorders>
                                    <w:top w:val="nil"/>
                                    <w:bottom w:val="nil"/>
                                  </w:tcBorders>
                                  <w:shd w:val="clear" w:color="auto" w:fill="00B050"/>
                                  <w:vAlign w:val="center"/>
                                </w:tcPr>
                                <w:p>
                                  <w:pPr>
                                    <w:keepNext w:val="0"/>
                                    <w:keepLines w:val="0"/>
                                    <w:widowControl/>
                                    <w:suppressLineNumbers w:val="0"/>
                                    <w:spacing w:before="78" w:beforeLines="25" w:beforeAutospacing="0" w:after="78" w:afterLines="25" w:afterAutospacing="0"/>
                                    <w:ind w:left="0" w:right="0"/>
                                    <w:jc w:val="center"/>
                                    <w:rPr>
                                      <w:rFonts w:hint="eastAsia" w:ascii="等线" w:hAnsi="等线" w:eastAsia="等线" w:cs="Arial"/>
                                      <w:b/>
                                      <w:bCs/>
                                      <w:color w:val="F9FBFA"/>
                                      <w:szCs w:val="21"/>
                                      <w:lang w:val="en-US" w:eastAsia="zh-CN"/>
                                    </w:rPr>
                                  </w:pPr>
                                  <w:r>
                                    <w:rPr>
                                      <w:rFonts w:hint="eastAsia" w:ascii="等线" w:hAnsi="等线" w:eastAsia="等线" w:cs="Arial"/>
                                      <w:b/>
                                      <w:bCs/>
                                      <w:color w:val="F9FBFA"/>
                                      <w:szCs w:val="21"/>
                                      <w:lang w:val="en-US" w:eastAsia="zh-CN"/>
                                    </w:rPr>
                                    <w:t>MMR相关基因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2" w:type="pct"/>
                                <w:trHeight w:val="340" w:hRule="atLeast"/>
                                <w:jc w:val="center"/>
                              </w:trPr>
                              <w:tc>
                                <w:tcPr>
                                  <w:tcW w:w="996" w:type="pct"/>
                                  <w:tcBorders>
                                    <w:top w:val="nil"/>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MSH2</w:t>
                                  </w:r>
                                </w:p>
                              </w:tc>
                              <w:tc>
                                <w:tcPr>
                                  <w:tcW w:w="996" w:type="pct"/>
                                  <w:tcBorders>
                                    <w:top w:val="nil"/>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MSH6</w:t>
                                  </w:r>
                                </w:p>
                              </w:tc>
                              <w:tc>
                                <w:tcPr>
                                  <w:tcW w:w="997" w:type="pct"/>
                                  <w:tcBorders>
                                    <w:top w:val="nil"/>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MLH1</w:t>
                                  </w:r>
                                </w:p>
                              </w:tc>
                              <w:tc>
                                <w:tcPr>
                                  <w:tcW w:w="997" w:type="pct"/>
                                  <w:tcBorders>
                                    <w:top w:val="nil"/>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PMS2</w:t>
                                  </w:r>
                                </w:p>
                              </w:tc>
                              <w:tc>
                                <w:tcPr>
                                  <w:tcW w:w="999" w:type="pct"/>
                                  <w:tcBorders>
                                    <w:top w:val="nil"/>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EPCAM</w:t>
                                  </w:r>
                                </w:p>
                              </w:tc>
                            </w:tr>
                          </w:tbl>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36.65pt;margin-top:1.75pt;height:63.85pt;width:260.8pt;z-index:251704320;mso-width-relative:page;mso-height-relative:page;" filled="f" stroked="f" coordsize="21600,21600" o:gfxdata="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H5CIkrbAAAACQEAAA8AAAAAAAAA&#10;AQAgAAAAIgAAAGRycy9kb3ducmV2LnhtbFBLAQIUABQAAAAIAIdO4kDwOXo1RwIAAHQEAAAOAAAA&#10;AAAAAAEAIAAAACoBAABkcnMvZTJvRG9jLnhtbFBLBQYAAAAABgAGAFkBAADjBQAAAAA=&#10;">
                <v:fill on="f" focussize="0,0"/>
                <v:stroke on="f" weight="0.5pt"/>
                <v:imagedata o:title=""/>
                <o:lock v:ext="edit" aspectratio="f"/>
                <v:textbox>
                  <w:txbxContent>
                    <w:tbl>
                      <w:tblPr>
                        <w:tblStyle w:val="58"/>
                        <w:tblW w:w="4637"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948"/>
                        <w:gridCol w:w="948"/>
                        <w:gridCol w:w="949"/>
                        <w:gridCol w:w="949"/>
                        <w:gridCol w:w="952"/>
                        <w:gridCol w:w="1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5000" w:type="pct"/>
                            <w:gridSpan w:val="6"/>
                            <w:tcBorders>
                              <w:top w:val="nil"/>
                              <w:bottom w:val="nil"/>
                            </w:tcBorders>
                            <w:shd w:val="clear" w:color="auto" w:fill="00B050"/>
                            <w:vAlign w:val="center"/>
                          </w:tcPr>
                          <w:p>
                            <w:pPr>
                              <w:keepNext w:val="0"/>
                              <w:keepLines w:val="0"/>
                              <w:widowControl/>
                              <w:suppressLineNumbers w:val="0"/>
                              <w:spacing w:before="78" w:beforeLines="25" w:beforeAutospacing="0" w:after="78" w:afterLines="25" w:afterAutospacing="0"/>
                              <w:ind w:left="0" w:right="0"/>
                              <w:jc w:val="center"/>
                              <w:rPr>
                                <w:rFonts w:hint="eastAsia" w:ascii="等线" w:hAnsi="等线" w:eastAsia="等线" w:cs="Arial"/>
                                <w:b/>
                                <w:bCs/>
                                <w:color w:val="F9FBFA"/>
                                <w:szCs w:val="21"/>
                                <w:lang w:val="en-US" w:eastAsia="zh-CN"/>
                              </w:rPr>
                            </w:pPr>
                            <w:r>
                              <w:rPr>
                                <w:rFonts w:hint="eastAsia" w:ascii="等线" w:hAnsi="等线" w:eastAsia="等线" w:cs="Arial"/>
                                <w:b/>
                                <w:bCs/>
                                <w:color w:val="F9FBFA"/>
                                <w:szCs w:val="21"/>
                                <w:lang w:val="en-US" w:eastAsia="zh-CN"/>
                              </w:rPr>
                              <w:t>MMR相关基因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2" w:type="pct"/>
                          <w:trHeight w:val="340" w:hRule="atLeast"/>
                          <w:jc w:val="center"/>
                        </w:trPr>
                        <w:tc>
                          <w:tcPr>
                            <w:tcW w:w="996" w:type="pct"/>
                            <w:tcBorders>
                              <w:top w:val="nil"/>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MSH2</w:t>
                            </w:r>
                          </w:p>
                        </w:tc>
                        <w:tc>
                          <w:tcPr>
                            <w:tcW w:w="996" w:type="pct"/>
                            <w:tcBorders>
                              <w:top w:val="nil"/>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MSH6</w:t>
                            </w:r>
                          </w:p>
                        </w:tc>
                        <w:tc>
                          <w:tcPr>
                            <w:tcW w:w="997" w:type="pct"/>
                            <w:tcBorders>
                              <w:top w:val="nil"/>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MLH1</w:t>
                            </w:r>
                          </w:p>
                        </w:tc>
                        <w:tc>
                          <w:tcPr>
                            <w:tcW w:w="997" w:type="pct"/>
                            <w:tcBorders>
                              <w:top w:val="nil"/>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PMS2</w:t>
                            </w:r>
                          </w:p>
                        </w:tc>
                        <w:tc>
                          <w:tcPr>
                            <w:tcW w:w="999" w:type="pct"/>
                            <w:tcBorders>
                              <w:top w:val="nil"/>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EPCAM</w:t>
                            </w:r>
                          </w:p>
                        </w:tc>
                      </w:tr>
                    </w:tbl>
                    <w:p/>
                  </w:txbxContent>
                </v:textbox>
              </v:shape>
            </w:pict>
          </mc:Fallback>
        </mc:AlternateContent>
      </w:r>
      <w:r>
        <w:rPr>
          <w:rFonts w:hint="eastAsia" w:hAnsi="等线" w:cs="Arial"/>
          <w:b/>
          <w:bCs/>
          <w:color w:val="00B0F0"/>
          <w:sz w:val="30"/>
          <w:szCs w:val="30"/>
        </w:rPr>
        <mc:AlternateContent>
          <mc:Choice Requires="wps">
            <w:drawing>
              <wp:anchor distT="0" distB="0" distL="114300" distR="114300" simplePos="0" relativeHeight="251702272" behindDoc="0" locked="0" layoutInCell="1" allowOverlap="1">
                <wp:simplePos x="0" y="0"/>
                <wp:positionH relativeFrom="column">
                  <wp:posOffset>-198120</wp:posOffset>
                </wp:positionH>
                <wp:positionV relativeFrom="paragraph">
                  <wp:posOffset>16510</wp:posOffset>
                </wp:positionV>
                <wp:extent cx="3312160" cy="2670175"/>
                <wp:effectExtent l="0" t="0" r="0" b="0"/>
                <wp:wrapNone/>
                <wp:docPr id="1044" name="文本框 2"/>
                <wp:cNvGraphicFramePr/>
                <a:graphic xmlns:a="http://schemas.openxmlformats.org/drawingml/2006/main">
                  <a:graphicData uri="http://schemas.microsoft.com/office/word/2010/wordprocessingShape">
                    <wps:wsp>
                      <wps:cNvSpPr txBox="1"/>
                      <wps:spPr>
                        <a:xfrm>
                          <a:off x="917575" y="3220085"/>
                          <a:ext cx="3312160" cy="267017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tbl>
                            <w:tblPr>
                              <w:tblStyle w:val="58"/>
                              <w:tblW w:w="4636"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793"/>
                              <w:gridCol w:w="792"/>
                              <w:gridCol w:w="793"/>
                              <w:gridCol w:w="792"/>
                              <w:gridCol w:w="792"/>
                              <w:gridCol w:w="793"/>
                              <w:gridCol w:w="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5000" w:type="pct"/>
                                  <w:gridSpan w:val="7"/>
                                  <w:tcBorders>
                                    <w:top w:val="single" w:color="5B9BD5" w:themeColor="accent5" w:sz="4" w:space="0"/>
                                    <w:tl2br w:val="nil"/>
                                    <w:tr2bl w:val="nil"/>
                                  </w:tcBorders>
                                  <w:shd w:val="clear" w:color="auto" w:fill="4472C4"/>
                                  <w:vAlign w:val="center"/>
                                </w:tcPr>
                                <w:p>
                                  <w:pPr>
                                    <w:keepNext w:val="0"/>
                                    <w:keepLines w:val="0"/>
                                    <w:widowControl/>
                                    <w:suppressLineNumbers w:val="0"/>
                                    <w:spacing w:before="78" w:beforeLines="25" w:beforeAutospacing="0" w:after="78" w:afterLines="25" w:afterAutospacing="0"/>
                                    <w:ind w:left="0" w:right="0"/>
                                    <w:jc w:val="center"/>
                                    <w:rPr>
                                      <w:rFonts w:hint="eastAsia" w:hAnsi="等线" w:cs="Arial"/>
                                      <w:b/>
                                      <w:bCs/>
                                      <w:color w:val="FFFFFF" w:themeColor="background1"/>
                                      <w:sz w:val="15"/>
                                      <w:szCs w:val="15"/>
                                      <w14:textFill>
                                        <w14:solidFill>
                                          <w14:schemeClr w14:val="bg1"/>
                                        </w14:solidFill>
                                      </w14:textFill>
                                    </w:rPr>
                                  </w:pPr>
                                  <w:r>
                                    <w:rPr>
                                      <w:rFonts w:hint="eastAsia" w:hAnsi="等线" w:cs="Arial"/>
                                      <w:b/>
                                      <w:bCs/>
                                      <w:color w:val="FFFFFF" w:themeColor="background1"/>
                                      <w:sz w:val="21"/>
                                      <w:szCs w:val="21"/>
                                      <w14:textFill>
                                        <w14:solidFill>
                                          <w14:schemeClr w14:val="bg1"/>
                                        </w14:solidFill>
                                      </w14:textFill>
                                    </w:rPr>
                                    <w:t>靶向用药相关基因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op w:val="single" w:color="5B9BD5" w:themeColor="accent5" w:sz="4" w:space="0"/>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b/>
                                      <w:bCs/>
                                      <w:color w:val="000000"/>
                                      <w:kern w:val="2"/>
                                      <w:sz w:val="15"/>
                                      <w:szCs w:val="15"/>
                                      <w:lang w:val="en-US" w:eastAsia="zh-CN" w:bidi="ar-SA"/>
                                    </w:rPr>
                                  </w:pPr>
                                  <w:r>
                                    <w:rPr>
                                      <w:rFonts w:hint="eastAsia" w:ascii="等线" w:hAnsi="等线" w:eastAsia="等线" w:cs="等线"/>
                                      <w:i w:val="0"/>
                                      <w:iCs w:val="0"/>
                                      <w:color w:val="000000"/>
                                      <w:kern w:val="0"/>
                                      <w:sz w:val="15"/>
                                      <w:szCs w:val="15"/>
                                      <w:u w:val="none"/>
                                      <w:lang w:val="en-US" w:eastAsia="zh-CN" w:bidi="ar"/>
                                    </w:rPr>
                                    <w:t>AKT1</w:t>
                                  </w:r>
                                </w:p>
                              </w:tc>
                              <w:tc>
                                <w:tcPr>
                                  <w:tcW w:w="791" w:type="dxa"/>
                                  <w:tcBorders>
                                    <w:top w:val="single" w:color="5B9BD5" w:themeColor="accent5" w:sz="4" w:space="0"/>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kern w:val="2"/>
                                      <w:sz w:val="15"/>
                                      <w:szCs w:val="15"/>
                                      <w:lang w:val="en-US" w:eastAsia="zh-CN" w:bidi="ar-SA"/>
                                    </w:rPr>
                                  </w:pPr>
                                  <w:r>
                                    <w:rPr>
                                      <w:rFonts w:hint="eastAsia" w:ascii="等线" w:hAnsi="等线" w:eastAsia="等线" w:cs="等线"/>
                                      <w:i w:val="0"/>
                                      <w:iCs w:val="0"/>
                                      <w:color w:val="000000"/>
                                      <w:kern w:val="0"/>
                                      <w:sz w:val="15"/>
                                      <w:szCs w:val="15"/>
                                      <w:u w:val="none"/>
                                      <w:lang w:val="en-US" w:eastAsia="zh-CN" w:bidi="ar"/>
                                    </w:rPr>
                                    <w:t>ALK</w:t>
                                  </w:r>
                                </w:p>
                              </w:tc>
                              <w:tc>
                                <w:tcPr>
                                  <w:tcW w:w="792" w:type="dxa"/>
                                  <w:tcBorders>
                                    <w:top w:val="single" w:color="5B9BD5" w:themeColor="accent5" w:sz="4" w:space="0"/>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kern w:val="2"/>
                                      <w:sz w:val="15"/>
                                      <w:szCs w:val="15"/>
                                      <w:lang w:val="en-US" w:eastAsia="zh-CN" w:bidi="ar-SA"/>
                                    </w:rPr>
                                  </w:pPr>
                                  <w:r>
                                    <w:rPr>
                                      <w:rFonts w:hint="eastAsia" w:ascii="等线" w:hAnsi="等线" w:eastAsia="等线" w:cs="等线"/>
                                      <w:i w:val="0"/>
                                      <w:iCs w:val="0"/>
                                      <w:color w:val="000000"/>
                                      <w:kern w:val="0"/>
                                      <w:sz w:val="15"/>
                                      <w:szCs w:val="15"/>
                                      <w:u w:val="none"/>
                                      <w:lang w:val="en-US" w:eastAsia="zh-CN" w:bidi="ar"/>
                                    </w:rPr>
                                    <w:t>APC</w:t>
                                  </w:r>
                                </w:p>
                              </w:tc>
                              <w:tc>
                                <w:tcPr>
                                  <w:tcW w:w="792" w:type="dxa"/>
                                  <w:tcBorders>
                                    <w:top w:val="single" w:color="5B9BD5" w:themeColor="accent5" w:sz="4" w:space="0"/>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kern w:val="2"/>
                                      <w:sz w:val="15"/>
                                      <w:szCs w:val="15"/>
                                      <w:lang w:val="en-US" w:eastAsia="zh-CN" w:bidi="ar-SA"/>
                                    </w:rPr>
                                  </w:pPr>
                                  <w:r>
                                    <w:rPr>
                                      <w:rFonts w:hint="eastAsia" w:ascii="等线" w:hAnsi="等线" w:eastAsia="等线" w:cs="等线"/>
                                      <w:i w:val="0"/>
                                      <w:iCs w:val="0"/>
                                      <w:color w:val="000000"/>
                                      <w:kern w:val="0"/>
                                      <w:sz w:val="15"/>
                                      <w:szCs w:val="15"/>
                                      <w:u w:val="none"/>
                                      <w:lang w:val="en-US" w:eastAsia="zh-CN" w:bidi="ar"/>
                                    </w:rPr>
                                    <w:t>ATM</w:t>
                                  </w:r>
                                </w:p>
                              </w:tc>
                              <w:tc>
                                <w:tcPr>
                                  <w:tcW w:w="791" w:type="dxa"/>
                                  <w:tcBorders>
                                    <w:top w:val="single" w:color="5B9BD5" w:themeColor="accent5" w:sz="4" w:space="0"/>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kern w:val="2"/>
                                      <w:sz w:val="15"/>
                                      <w:szCs w:val="15"/>
                                      <w:lang w:val="en-US" w:eastAsia="zh-CN" w:bidi="ar-SA"/>
                                    </w:rPr>
                                  </w:pPr>
                                  <w:r>
                                    <w:rPr>
                                      <w:rFonts w:hint="eastAsia" w:ascii="等线" w:hAnsi="等线" w:eastAsia="等线" w:cs="等线"/>
                                      <w:i w:val="0"/>
                                      <w:iCs w:val="0"/>
                                      <w:color w:val="000000"/>
                                      <w:kern w:val="0"/>
                                      <w:sz w:val="15"/>
                                      <w:szCs w:val="15"/>
                                      <w:u w:val="none"/>
                                      <w:lang w:val="en-US" w:eastAsia="zh-CN" w:bidi="ar"/>
                                    </w:rPr>
                                    <w:t>BARD1</w:t>
                                  </w:r>
                                </w:p>
                              </w:tc>
                              <w:tc>
                                <w:tcPr>
                                  <w:tcW w:w="792" w:type="dxa"/>
                                  <w:tcBorders>
                                    <w:top w:val="single" w:color="5B9BD5" w:themeColor="accent5" w:sz="4" w:space="0"/>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kern w:val="2"/>
                                      <w:sz w:val="15"/>
                                      <w:szCs w:val="15"/>
                                      <w:lang w:val="en-US" w:eastAsia="zh-CN" w:bidi="ar-SA"/>
                                    </w:rPr>
                                  </w:pPr>
                                  <w:r>
                                    <w:rPr>
                                      <w:rFonts w:hint="eastAsia" w:ascii="等线" w:hAnsi="等线" w:eastAsia="等线" w:cs="等线"/>
                                      <w:i w:val="0"/>
                                      <w:iCs w:val="0"/>
                                      <w:color w:val="000000"/>
                                      <w:kern w:val="0"/>
                                      <w:sz w:val="15"/>
                                      <w:szCs w:val="15"/>
                                      <w:u w:val="none"/>
                                      <w:lang w:val="en-US" w:eastAsia="zh-CN" w:bidi="ar"/>
                                    </w:rPr>
                                    <w:t>BRAF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BRCA1</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BRCA2</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BRIP1</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CCND2</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CCND3</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CDK12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CDK4</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CDKN2A</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CHEK1</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CHEK2</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CSF1R</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EGFR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ERBB2</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FANCL</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FGFR1</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FGFR2</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FGFR3</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FLT3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IDH1</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KDR</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KIT</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KRAS</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MAP2K1</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MET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MTOR</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NF1</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NRAS</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NTRK1</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NTRK2</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NTRK3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PALB2</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PDGFRA</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PIK3CA</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PTEN</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RAD51B</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RAD51C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RAD51D</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RAD54L</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RB1</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RET</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ROS1</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SDHA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SDHB</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SDHC</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SDHD</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SMAD4</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SMO</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TP53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TSC1</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TSC2</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VHL</w:t>
                                  </w:r>
                                </w:p>
                              </w:tc>
                              <w:tc>
                                <w:tcPr>
                                  <w:tcW w:w="792" w:type="dxa"/>
                                  <w:tcBorders>
                                    <w:tl2br w:val="nil"/>
                                    <w:tr2bl w:val="nil"/>
                                  </w:tcBorders>
                                  <w:shd w:val="clear" w:color="auto" w:fill="F2F2F2"/>
                                  <w:vAlign w:val="center"/>
                                </w:tcPr>
                                <w:p>
                                  <w:pPr>
                                    <w:jc w:val="center"/>
                                    <w:rPr>
                                      <w:rFonts w:hint="eastAsia" w:ascii="等线" w:hAnsi="等线" w:eastAsia="等线" w:cs="等线"/>
                                      <w:i w:val="0"/>
                                      <w:iCs w:val="0"/>
                                      <w:color w:val="000000"/>
                                      <w:kern w:val="0"/>
                                      <w:sz w:val="15"/>
                                      <w:szCs w:val="15"/>
                                      <w:u w:val="none"/>
                                      <w:lang w:val="en-US" w:eastAsia="zh-CN" w:bidi="ar"/>
                                    </w:rPr>
                                  </w:pPr>
                                </w:p>
                              </w:tc>
                              <w:tc>
                                <w:tcPr>
                                  <w:tcW w:w="791" w:type="dxa"/>
                                  <w:tcBorders>
                                    <w:tl2br w:val="nil"/>
                                    <w:tr2bl w:val="nil"/>
                                  </w:tcBorders>
                                  <w:shd w:val="clear" w:color="auto" w:fill="F2F2F2"/>
                                  <w:vAlign w:val="center"/>
                                </w:tcPr>
                                <w:p>
                                  <w:pPr>
                                    <w:jc w:val="center"/>
                                    <w:rPr>
                                      <w:rFonts w:hint="eastAsia" w:ascii="等线" w:hAnsi="等线" w:eastAsia="等线" w:cs="等线"/>
                                      <w:i w:val="0"/>
                                      <w:iCs w:val="0"/>
                                      <w:color w:val="000000"/>
                                      <w:kern w:val="0"/>
                                      <w:sz w:val="15"/>
                                      <w:szCs w:val="15"/>
                                      <w:u w:val="none"/>
                                      <w:lang w:val="en-US" w:eastAsia="zh-CN" w:bidi="ar"/>
                                    </w:rPr>
                                  </w:pPr>
                                </w:p>
                              </w:tc>
                              <w:tc>
                                <w:tcPr>
                                  <w:tcW w:w="792" w:type="dxa"/>
                                  <w:tcBorders>
                                    <w:tl2br w:val="nil"/>
                                    <w:tr2bl w:val="nil"/>
                                  </w:tcBorders>
                                  <w:shd w:val="clear" w:color="auto" w:fill="F2F2F2"/>
                                  <w:vAlign w:val="center"/>
                                </w:tcPr>
                                <w:p>
                                  <w:pPr>
                                    <w:jc w:val="center"/>
                                    <w:rPr>
                                      <w:rFonts w:hint="eastAsia" w:ascii="等线" w:hAnsi="等线" w:eastAsia="等线" w:cs="等线"/>
                                      <w:i w:val="0"/>
                                      <w:iCs w:val="0"/>
                                      <w:color w:val="000000"/>
                                      <w:kern w:val="0"/>
                                      <w:sz w:val="15"/>
                                      <w:szCs w:val="15"/>
                                      <w:u w:val="none"/>
                                      <w:lang w:val="en-US" w:eastAsia="zh-CN" w:bidi="ar"/>
                                    </w:rPr>
                                  </w:pPr>
                                </w:p>
                              </w:tc>
                            </w:tr>
                          </w:tbl>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5.6pt;margin-top:1.3pt;height:210.25pt;width:260.8pt;z-index:251702272;mso-width-relative:page;mso-height-relative:page;" filled="f" stroked="f" coordsize="21600,21600" o:gfxdata="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KZ5sBjbAAAACQEAAA8AAAAAAAAA&#10;AQAgAAAAIgAAAGRycy9kb3ducmV2LnhtbFBLAQIUABQAAAAIAIdO4kAJ+wiJRwIAAHIEAAAOAAAA&#10;AAAAAAEAIAAAACoBAABkcnMvZTJvRG9jLnhtbFBLBQYAAAAABgAGAFkBAADjBQAAAAA=&#10;">
                <v:fill on="f" focussize="0,0"/>
                <v:stroke on="f" weight="0.5pt"/>
                <v:imagedata o:title=""/>
                <o:lock v:ext="edit" aspectratio="f"/>
                <v:textbox>
                  <w:txbxContent>
                    <w:tbl>
                      <w:tblPr>
                        <w:tblStyle w:val="58"/>
                        <w:tblW w:w="4636"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793"/>
                        <w:gridCol w:w="792"/>
                        <w:gridCol w:w="793"/>
                        <w:gridCol w:w="792"/>
                        <w:gridCol w:w="792"/>
                        <w:gridCol w:w="793"/>
                        <w:gridCol w:w="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5000" w:type="pct"/>
                            <w:gridSpan w:val="7"/>
                            <w:tcBorders>
                              <w:top w:val="single" w:color="5B9BD5" w:themeColor="accent5" w:sz="4" w:space="0"/>
                              <w:tl2br w:val="nil"/>
                              <w:tr2bl w:val="nil"/>
                            </w:tcBorders>
                            <w:shd w:val="clear" w:color="auto" w:fill="4472C4"/>
                            <w:vAlign w:val="center"/>
                          </w:tcPr>
                          <w:p>
                            <w:pPr>
                              <w:keepNext w:val="0"/>
                              <w:keepLines w:val="0"/>
                              <w:widowControl/>
                              <w:suppressLineNumbers w:val="0"/>
                              <w:spacing w:before="78" w:beforeLines="25" w:beforeAutospacing="0" w:after="78" w:afterLines="25" w:afterAutospacing="0"/>
                              <w:ind w:left="0" w:right="0"/>
                              <w:jc w:val="center"/>
                              <w:rPr>
                                <w:rFonts w:hint="eastAsia" w:hAnsi="等线" w:cs="Arial"/>
                                <w:b/>
                                <w:bCs/>
                                <w:color w:val="FFFFFF" w:themeColor="background1"/>
                                <w:sz w:val="15"/>
                                <w:szCs w:val="15"/>
                                <w14:textFill>
                                  <w14:solidFill>
                                    <w14:schemeClr w14:val="bg1"/>
                                  </w14:solidFill>
                                </w14:textFill>
                              </w:rPr>
                            </w:pPr>
                            <w:r>
                              <w:rPr>
                                <w:rFonts w:hint="eastAsia" w:hAnsi="等线" w:cs="Arial"/>
                                <w:b/>
                                <w:bCs/>
                                <w:color w:val="FFFFFF" w:themeColor="background1"/>
                                <w:sz w:val="21"/>
                                <w:szCs w:val="21"/>
                                <w14:textFill>
                                  <w14:solidFill>
                                    <w14:schemeClr w14:val="bg1"/>
                                  </w14:solidFill>
                                </w14:textFill>
                              </w:rPr>
                              <w:t>靶向用药相关基因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op w:val="single" w:color="5B9BD5" w:themeColor="accent5" w:sz="4" w:space="0"/>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b/>
                                <w:bCs/>
                                <w:color w:val="000000"/>
                                <w:kern w:val="2"/>
                                <w:sz w:val="15"/>
                                <w:szCs w:val="15"/>
                                <w:lang w:val="en-US" w:eastAsia="zh-CN" w:bidi="ar-SA"/>
                              </w:rPr>
                            </w:pPr>
                            <w:r>
                              <w:rPr>
                                <w:rFonts w:hint="eastAsia" w:ascii="等线" w:hAnsi="等线" w:eastAsia="等线" w:cs="等线"/>
                                <w:i w:val="0"/>
                                <w:iCs w:val="0"/>
                                <w:color w:val="000000"/>
                                <w:kern w:val="0"/>
                                <w:sz w:val="15"/>
                                <w:szCs w:val="15"/>
                                <w:u w:val="none"/>
                                <w:lang w:val="en-US" w:eastAsia="zh-CN" w:bidi="ar"/>
                              </w:rPr>
                              <w:t>AKT1</w:t>
                            </w:r>
                          </w:p>
                        </w:tc>
                        <w:tc>
                          <w:tcPr>
                            <w:tcW w:w="791" w:type="dxa"/>
                            <w:tcBorders>
                              <w:top w:val="single" w:color="5B9BD5" w:themeColor="accent5" w:sz="4" w:space="0"/>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kern w:val="2"/>
                                <w:sz w:val="15"/>
                                <w:szCs w:val="15"/>
                                <w:lang w:val="en-US" w:eastAsia="zh-CN" w:bidi="ar-SA"/>
                              </w:rPr>
                            </w:pPr>
                            <w:r>
                              <w:rPr>
                                <w:rFonts w:hint="eastAsia" w:ascii="等线" w:hAnsi="等线" w:eastAsia="等线" w:cs="等线"/>
                                <w:i w:val="0"/>
                                <w:iCs w:val="0"/>
                                <w:color w:val="000000"/>
                                <w:kern w:val="0"/>
                                <w:sz w:val="15"/>
                                <w:szCs w:val="15"/>
                                <w:u w:val="none"/>
                                <w:lang w:val="en-US" w:eastAsia="zh-CN" w:bidi="ar"/>
                              </w:rPr>
                              <w:t>ALK</w:t>
                            </w:r>
                          </w:p>
                        </w:tc>
                        <w:tc>
                          <w:tcPr>
                            <w:tcW w:w="792" w:type="dxa"/>
                            <w:tcBorders>
                              <w:top w:val="single" w:color="5B9BD5" w:themeColor="accent5" w:sz="4" w:space="0"/>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kern w:val="2"/>
                                <w:sz w:val="15"/>
                                <w:szCs w:val="15"/>
                                <w:lang w:val="en-US" w:eastAsia="zh-CN" w:bidi="ar-SA"/>
                              </w:rPr>
                            </w:pPr>
                            <w:r>
                              <w:rPr>
                                <w:rFonts w:hint="eastAsia" w:ascii="等线" w:hAnsi="等线" w:eastAsia="等线" w:cs="等线"/>
                                <w:i w:val="0"/>
                                <w:iCs w:val="0"/>
                                <w:color w:val="000000"/>
                                <w:kern w:val="0"/>
                                <w:sz w:val="15"/>
                                <w:szCs w:val="15"/>
                                <w:u w:val="none"/>
                                <w:lang w:val="en-US" w:eastAsia="zh-CN" w:bidi="ar"/>
                              </w:rPr>
                              <w:t>APC</w:t>
                            </w:r>
                          </w:p>
                        </w:tc>
                        <w:tc>
                          <w:tcPr>
                            <w:tcW w:w="792" w:type="dxa"/>
                            <w:tcBorders>
                              <w:top w:val="single" w:color="5B9BD5" w:themeColor="accent5" w:sz="4" w:space="0"/>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kern w:val="2"/>
                                <w:sz w:val="15"/>
                                <w:szCs w:val="15"/>
                                <w:lang w:val="en-US" w:eastAsia="zh-CN" w:bidi="ar-SA"/>
                              </w:rPr>
                            </w:pPr>
                            <w:r>
                              <w:rPr>
                                <w:rFonts w:hint="eastAsia" w:ascii="等线" w:hAnsi="等线" w:eastAsia="等线" w:cs="等线"/>
                                <w:i w:val="0"/>
                                <w:iCs w:val="0"/>
                                <w:color w:val="000000"/>
                                <w:kern w:val="0"/>
                                <w:sz w:val="15"/>
                                <w:szCs w:val="15"/>
                                <w:u w:val="none"/>
                                <w:lang w:val="en-US" w:eastAsia="zh-CN" w:bidi="ar"/>
                              </w:rPr>
                              <w:t>ATM</w:t>
                            </w:r>
                          </w:p>
                        </w:tc>
                        <w:tc>
                          <w:tcPr>
                            <w:tcW w:w="791" w:type="dxa"/>
                            <w:tcBorders>
                              <w:top w:val="single" w:color="5B9BD5" w:themeColor="accent5" w:sz="4" w:space="0"/>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kern w:val="2"/>
                                <w:sz w:val="15"/>
                                <w:szCs w:val="15"/>
                                <w:lang w:val="en-US" w:eastAsia="zh-CN" w:bidi="ar-SA"/>
                              </w:rPr>
                            </w:pPr>
                            <w:r>
                              <w:rPr>
                                <w:rFonts w:hint="eastAsia" w:ascii="等线" w:hAnsi="等线" w:eastAsia="等线" w:cs="等线"/>
                                <w:i w:val="0"/>
                                <w:iCs w:val="0"/>
                                <w:color w:val="000000"/>
                                <w:kern w:val="0"/>
                                <w:sz w:val="15"/>
                                <w:szCs w:val="15"/>
                                <w:u w:val="none"/>
                                <w:lang w:val="en-US" w:eastAsia="zh-CN" w:bidi="ar"/>
                              </w:rPr>
                              <w:t>BARD1</w:t>
                            </w:r>
                          </w:p>
                        </w:tc>
                        <w:tc>
                          <w:tcPr>
                            <w:tcW w:w="792" w:type="dxa"/>
                            <w:tcBorders>
                              <w:top w:val="single" w:color="5B9BD5" w:themeColor="accent5" w:sz="4" w:space="0"/>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kern w:val="2"/>
                                <w:sz w:val="15"/>
                                <w:szCs w:val="15"/>
                                <w:lang w:val="en-US" w:eastAsia="zh-CN" w:bidi="ar-SA"/>
                              </w:rPr>
                            </w:pPr>
                            <w:r>
                              <w:rPr>
                                <w:rFonts w:hint="eastAsia" w:ascii="等线" w:hAnsi="等线" w:eastAsia="等线" w:cs="等线"/>
                                <w:i w:val="0"/>
                                <w:iCs w:val="0"/>
                                <w:color w:val="000000"/>
                                <w:kern w:val="0"/>
                                <w:sz w:val="15"/>
                                <w:szCs w:val="15"/>
                                <w:u w:val="none"/>
                                <w:lang w:val="en-US" w:eastAsia="zh-CN" w:bidi="ar"/>
                              </w:rPr>
                              <w:t>BRAF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BRCA1</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BRCA2</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BRIP1</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CCND2</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CCND3</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CDK12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CDK4</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CDKN2A</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CHEK1</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CHEK2</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CSF1R</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EGFR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ERBB2</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FANCL</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FGFR1</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FGFR2</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FGFR3</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FLT3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IDH1</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KDR</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KIT</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KRAS</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MAP2K1</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MET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MTOR</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NF1</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NRAS</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NTRK1</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NTRK2</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NTRK3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PALB2</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PDGFRA</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PIK3CA</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PTEN</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RAD51B</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RAD51C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RAD51D</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RAD54L</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RB1</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RET</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ROS1</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SDHA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SDHB</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SDHC</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SDHD</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SMAD4</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SMO</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TP53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TSC1</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TSC2</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VHL</w:t>
                            </w:r>
                          </w:p>
                        </w:tc>
                        <w:tc>
                          <w:tcPr>
                            <w:tcW w:w="792" w:type="dxa"/>
                            <w:tcBorders>
                              <w:tl2br w:val="nil"/>
                              <w:tr2bl w:val="nil"/>
                            </w:tcBorders>
                            <w:shd w:val="clear" w:color="auto" w:fill="F2F2F2"/>
                            <w:vAlign w:val="center"/>
                          </w:tcPr>
                          <w:p>
                            <w:pPr>
                              <w:jc w:val="center"/>
                              <w:rPr>
                                <w:rFonts w:hint="eastAsia" w:ascii="等线" w:hAnsi="等线" w:eastAsia="等线" w:cs="等线"/>
                                <w:i w:val="0"/>
                                <w:iCs w:val="0"/>
                                <w:color w:val="000000"/>
                                <w:kern w:val="0"/>
                                <w:sz w:val="15"/>
                                <w:szCs w:val="15"/>
                                <w:u w:val="none"/>
                                <w:lang w:val="en-US" w:eastAsia="zh-CN" w:bidi="ar"/>
                              </w:rPr>
                            </w:pPr>
                          </w:p>
                        </w:tc>
                        <w:tc>
                          <w:tcPr>
                            <w:tcW w:w="791" w:type="dxa"/>
                            <w:tcBorders>
                              <w:tl2br w:val="nil"/>
                              <w:tr2bl w:val="nil"/>
                            </w:tcBorders>
                            <w:shd w:val="clear" w:color="auto" w:fill="F2F2F2"/>
                            <w:vAlign w:val="center"/>
                          </w:tcPr>
                          <w:p>
                            <w:pPr>
                              <w:jc w:val="center"/>
                              <w:rPr>
                                <w:rFonts w:hint="eastAsia" w:ascii="等线" w:hAnsi="等线" w:eastAsia="等线" w:cs="等线"/>
                                <w:i w:val="0"/>
                                <w:iCs w:val="0"/>
                                <w:color w:val="000000"/>
                                <w:kern w:val="0"/>
                                <w:sz w:val="15"/>
                                <w:szCs w:val="15"/>
                                <w:u w:val="none"/>
                                <w:lang w:val="en-US" w:eastAsia="zh-CN" w:bidi="ar"/>
                              </w:rPr>
                            </w:pPr>
                          </w:p>
                        </w:tc>
                        <w:tc>
                          <w:tcPr>
                            <w:tcW w:w="792" w:type="dxa"/>
                            <w:tcBorders>
                              <w:tl2br w:val="nil"/>
                              <w:tr2bl w:val="nil"/>
                            </w:tcBorders>
                            <w:shd w:val="clear" w:color="auto" w:fill="F2F2F2"/>
                            <w:vAlign w:val="center"/>
                          </w:tcPr>
                          <w:p>
                            <w:pPr>
                              <w:jc w:val="center"/>
                              <w:rPr>
                                <w:rFonts w:hint="eastAsia" w:ascii="等线" w:hAnsi="等线" w:eastAsia="等线" w:cs="等线"/>
                                <w:i w:val="0"/>
                                <w:iCs w:val="0"/>
                                <w:color w:val="000000"/>
                                <w:kern w:val="0"/>
                                <w:sz w:val="15"/>
                                <w:szCs w:val="15"/>
                                <w:u w:val="none"/>
                                <w:lang w:val="en-US" w:eastAsia="zh-CN" w:bidi="ar"/>
                              </w:rPr>
                            </w:pPr>
                          </w:p>
                        </w:tc>
                      </w:tr>
                    </w:tbl>
                    <w:p/>
                  </w:txbxContent>
                </v:textbox>
              </v:shape>
            </w:pict>
          </mc:Fallback>
        </mc:AlternateContent>
      </w:r>
    </w:p>
    <w:p/>
    <w:p/>
    <w:p>
      <w:r>
        <w:rPr>
          <w:sz w:val="21"/>
        </w:rPr>
        <mc:AlternateContent>
          <mc:Choice Requires="wps">
            <w:drawing>
              <wp:anchor distT="0" distB="0" distL="114300" distR="114300" simplePos="0" relativeHeight="251706368" behindDoc="0" locked="0" layoutInCell="1" allowOverlap="1">
                <wp:simplePos x="0" y="0"/>
                <wp:positionH relativeFrom="column">
                  <wp:posOffset>3008630</wp:posOffset>
                </wp:positionH>
                <wp:positionV relativeFrom="paragraph">
                  <wp:posOffset>196215</wp:posOffset>
                </wp:positionV>
                <wp:extent cx="3312160" cy="883285"/>
                <wp:effectExtent l="0" t="0" r="0" b="0"/>
                <wp:wrapNone/>
                <wp:docPr id="1045" name="文本框 16"/>
                <wp:cNvGraphicFramePr/>
                <a:graphic xmlns:a="http://schemas.openxmlformats.org/drawingml/2006/main">
                  <a:graphicData uri="http://schemas.microsoft.com/office/word/2010/wordprocessingShape">
                    <wps:wsp>
                      <wps:cNvSpPr txBox="1"/>
                      <wps:spPr>
                        <a:xfrm>
                          <a:off x="0" y="0"/>
                          <a:ext cx="3312160" cy="88328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tbl>
                            <w:tblPr>
                              <w:tblStyle w:val="58"/>
                              <w:tblW w:w="4637"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65"/>
                              <w:gridCol w:w="777"/>
                              <w:gridCol w:w="778"/>
                              <w:gridCol w:w="779"/>
                              <w:gridCol w:w="780"/>
                              <w:gridCol w:w="78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5000" w:type="pct"/>
                                  <w:gridSpan w:val="6"/>
                                  <w:tcBorders>
                                    <w:tl2br w:val="nil"/>
                                    <w:tr2bl w:val="nil"/>
                                  </w:tcBorders>
                                  <w:shd w:val="clear" w:color="auto" w:fill="3FC0C1"/>
                                  <w:vAlign w:val="center"/>
                                </w:tcPr>
                                <w:p>
                                  <w:pPr>
                                    <w:keepNext w:val="0"/>
                                    <w:keepLines w:val="0"/>
                                    <w:widowControl/>
                                    <w:suppressLineNumbers w:val="0"/>
                                    <w:spacing w:before="78" w:beforeLines="25" w:beforeAutospacing="0" w:after="78" w:afterLines="25" w:afterAutospacing="0"/>
                                    <w:ind w:left="0" w:right="0"/>
                                    <w:jc w:val="center"/>
                                    <w:rPr>
                                      <w:rFonts w:hint="eastAsia" w:ascii="等线" w:hAnsi="等线" w:eastAsia="等线" w:cs="Arial"/>
                                      <w:b/>
                                      <w:bCs/>
                                      <w:color w:val="F9FBFA"/>
                                      <w:szCs w:val="21"/>
                                    </w:rPr>
                                  </w:pPr>
                                  <w:r>
                                    <w:rPr>
                                      <w:rFonts w:hint="eastAsia" w:hAnsi="等线" w:cs="Arial"/>
                                      <w:b/>
                                      <w:bCs/>
                                      <w:color w:val="F9FBFA"/>
                                      <w:szCs w:val="21"/>
                                      <w:lang w:val="en-US" w:eastAsia="zh-CN"/>
                                    </w:rPr>
                                    <w:t>遗传性肿瘤</w:t>
                                  </w:r>
                                  <w:r>
                                    <w:rPr>
                                      <w:rFonts w:hint="eastAsia" w:ascii="等线" w:hAnsi="等线" w:eastAsia="等线" w:cs="Arial"/>
                                      <w:b/>
                                      <w:bCs/>
                                      <w:color w:val="F9FBFA"/>
                                      <w:szCs w:val="21"/>
                                    </w:rPr>
                                    <w:t>相关基因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66"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APC</w:t>
                                  </w:r>
                                </w:p>
                              </w:tc>
                              <w:tc>
                                <w:tcPr>
                                  <w:tcW w:w="777"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EPCAM</w:t>
                                  </w:r>
                                </w:p>
                              </w:tc>
                              <w:tc>
                                <w:tcPr>
                                  <w:tcW w:w="778"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MLH1</w:t>
                                  </w:r>
                                </w:p>
                              </w:tc>
                              <w:tc>
                                <w:tcPr>
                                  <w:tcW w:w="779"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MSH2</w:t>
                                  </w:r>
                                </w:p>
                              </w:tc>
                              <w:tc>
                                <w:tcPr>
                                  <w:tcW w:w="780"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MSH6</w:t>
                                  </w:r>
                                </w:p>
                              </w:tc>
                              <w:tc>
                                <w:tcPr>
                                  <w:tcW w:w="78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MUTYH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66"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PMS2</w:t>
                                  </w:r>
                                </w:p>
                              </w:tc>
                              <w:tc>
                                <w:tcPr>
                                  <w:tcW w:w="777"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PTEN</w:t>
                                  </w:r>
                                </w:p>
                              </w:tc>
                              <w:tc>
                                <w:tcPr>
                                  <w:tcW w:w="778"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SMAD4</w:t>
                                  </w:r>
                                </w:p>
                              </w:tc>
                              <w:tc>
                                <w:tcPr>
                                  <w:tcW w:w="779"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STK11</w:t>
                                  </w:r>
                                </w:p>
                              </w:tc>
                              <w:tc>
                                <w:tcPr>
                                  <w:tcW w:w="780"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TP53</w:t>
                                  </w:r>
                                </w:p>
                              </w:tc>
                              <w:tc>
                                <w:tcPr>
                                  <w:tcW w:w="782" w:type="dxa"/>
                                  <w:tcBorders>
                                    <w:tl2br w:val="nil"/>
                                    <w:tr2bl w:val="nil"/>
                                  </w:tcBorders>
                                  <w:shd w:val="clear" w:color="auto" w:fill="F2F2F2"/>
                                  <w:vAlign w:val="center"/>
                                </w:tcPr>
                                <w:p>
                                  <w:pPr>
                                    <w:jc w:val="center"/>
                                    <w:rPr>
                                      <w:rFonts w:hint="eastAsia" w:ascii="等线" w:hAnsi="等线" w:eastAsia="等线" w:cs="等线"/>
                                      <w:i w:val="0"/>
                                      <w:iCs w:val="0"/>
                                      <w:color w:val="000000"/>
                                      <w:kern w:val="0"/>
                                      <w:sz w:val="15"/>
                                      <w:szCs w:val="15"/>
                                      <w:u w:val="none"/>
                                      <w:lang w:val="en-US" w:eastAsia="zh-CN" w:bidi="ar"/>
                                    </w:rPr>
                                  </w:pPr>
                                </w:p>
                              </w:tc>
                            </w:tr>
                          </w:tbl>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36.9pt;margin-top:15.45pt;height:69.55pt;width:260.8pt;z-index:251706368;mso-width-relative:page;mso-height-relative:page;" filled="f" stroked="f" coordsize="21600,21600" o:gfxdata="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3XUL0tsAAAAKAQAADwAAAAAAAAABACAAAAAiAAAA&#10;ZHJzL2Rvd25yZXYueG1sUEsBAhQAFAAAAAgAh07iQB1eAvs9AgAAaAQAAA4AAAAAAAAAAQAgAAAA&#10;KgEAAGRycy9lMm9Eb2MueG1sUEsFBgAAAAAGAAYAWQEAANkFAAAAAA==&#10;">
                <v:fill on="f" focussize="0,0"/>
                <v:stroke on="f" weight="0.5pt"/>
                <v:imagedata o:title=""/>
                <o:lock v:ext="edit" aspectratio="f"/>
                <v:textbox>
                  <w:txbxContent>
                    <w:tbl>
                      <w:tblPr>
                        <w:tblStyle w:val="58"/>
                        <w:tblW w:w="4637"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65"/>
                        <w:gridCol w:w="777"/>
                        <w:gridCol w:w="778"/>
                        <w:gridCol w:w="779"/>
                        <w:gridCol w:w="780"/>
                        <w:gridCol w:w="78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5000" w:type="pct"/>
                            <w:gridSpan w:val="6"/>
                            <w:tcBorders>
                              <w:tl2br w:val="nil"/>
                              <w:tr2bl w:val="nil"/>
                            </w:tcBorders>
                            <w:shd w:val="clear" w:color="auto" w:fill="3FC0C1"/>
                            <w:vAlign w:val="center"/>
                          </w:tcPr>
                          <w:p>
                            <w:pPr>
                              <w:keepNext w:val="0"/>
                              <w:keepLines w:val="0"/>
                              <w:widowControl/>
                              <w:suppressLineNumbers w:val="0"/>
                              <w:spacing w:before="78" w:beforeLines="25" w:beforeAutospacing="0" w:after="78" w:afterLines="25" w:afterAutospacing="0"/>
                              <w:ind w:left="0" w:right="0"/>
                              <w:jc w:val="center"/>
                              <w:rPr>
                                <w:rFonts w:hint="eastAsia" w:ascii="等线" w:hAnsi="等线" w:eastAsia="等线" w:cs="Arial"/>
                                <w:b/>
                                <w:bCs/>
                                <w:color w:val="F9FBFA"/>
                                <w:szCs w:val="21"/>
                              </w:rPr>
                            </w:pPr>
                            <w:r>
                              <w:rPr>
                                <w:rFonts w:hint="eastAsia" w:hAnsi="等线" w:cs="Arial"/>
                                <w:b/>
                                <w:bCs/>
                                <w:color w:val="F9FBFA"/>
                                <w:szCs w:val="21"/>
                                <w:lang w:val="en-US" w:eastAsia="zh-CN"/>
                              </w:rPr>
                              <w:t>遗传性肿瘤</w:t>
                            </w:r>
                            <w:r>
                              <w:rPr>
                                <w:rFonts w:hint="eastAsia" w:ascii="等线" w:hAnsi="等线" w:eastAsia="等线" w:cs="Arial"/>
                                <w:b/>
                                <w:bCs/>
                                <w:color w:val="F9FBFA"/>
                                <w:szCs w:val="21"/>
                              </w:rPr>
                              <w:t>相关基因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66"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APC</w:t>
                            </w:r>
                          </w:p>
                        </w:tc>
                        <w:tc>
                          <w:tcPr>
                            <w:tcW w:w="777"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EPCAM</w:t>
                            </w:r>
                          </w:p>
                        </w:tc>
                        <w:tc>
                          <w:tcPr>
                            <w:tcW w:w="778"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MLH1</w:t>
                            </w:r>
                          </w:p>
                        </w:tc>
                        <w:tc>
                          <w:tcPr>
                            <w:tcW w:w="779"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MSH2</w:t>
                            </w:r>
                          </w:p>
                        </w:tc>
                        <w:tc>
                          <w:tcPr>
                            <w:tcW w:w="780"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MSH6</w:t>
                            </w:r>
                          </w:p>
                        </w:tc>
                        <w:tc>
                          <w:tcPr>
                            <w:tcW w:w="78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MUTYH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66"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PMS2</w:t>
                            </w:r>
                          </w:p>
                        </w:tc>
                        <w:tc>
                          <w:tcPr>
                            <w:tcW w:w="777"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PTEN</w:t>
                            </w:r>
                          </w:p>
                        </w:tc>
                        <w:tc>
                          <w:tcPr>
                            <w:tcW w:w="778"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SMAD4</w:t>
                            </w:r>
                          </w:p>
                        </w:tc>
                        <w:tc>
                          <w:tcPr>
                            <w:tcW w:w="779"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STK11</w:t>
                            </w:r>
                          </w:p>
                        </w:tc>
                        <w:tc>
                          <w:tcPr>
                            <w:tcW w:w="780"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TP53</w:t>
                            </w:r>
                          </w:p>
                        </w:tc>
                        <w:tc>
                          <w:tcPr>
                            <w:tcW w:w="782" w:type="dxa"/>
                            <w:tcBorders>
                              <w:tl2br w:val="nil"/>
                              <w:tr2bl w:val="nil"/>
                            </w:tcBorders>
                            <w:shd w:val="clear" w:color="auto" w:fill="F2F2F2"/>
                            <w:vAlign w:val="center"/>
                          </w:tcPr>
                          <w:p>
                            <w:pPr>
                              <w:jc w:val="center"/>
                              <w:rPr>
                                <w:rFonts w:hint="eastAsia" w:ascii="等线" w:hAnsi="等线" w:eastAsia="等线" w:cs="等线"/>
                                <w:i w:val="0"/>
                                <w:iCs w:val="0"/>
                                <w:color w:val="000000"/>
                                <w:kern w:val="0"/>
                                <w:sz w:val="15"/>
                                <w:szCs w:val="15"/>
                                <w:u w:val="none"/>
                                <w:lang w:val="en-US" w:eastAsia="zh-CN" w:bidi="ar"/>
                              </w:rPr>
                            </w:pPr>
                          </w:p>
                        </w:tc>
                      </w:tr>
                    </w:tbl>
                    <w:p/>
                  </w:txbxContent>
                </v:textbox>
              </v:shape>
            </w:pict>
          </mc:Fallback>
        </mc:AlternateContent>
      </w:r>
    </w:p>
    <w:p/>
    <w:p/>
    <w:p/>
    <w:p/>
    <w:p/>
    <w:p>
      <w:r>
        <w:rPr>
          <w:sz w:val="21"/>
        </w:rPr>
        <mc:AlternateContent>
          <mc:Choice Requires="wps">
            <w:drawing>
              <wp:anchor distT="0" distB="0" distL="114300" distR="114300" simplePos="0" relativeHeight="251705344" behindDoc="0" locked="0" layoutInCell="1" allowOverlap="1">
                <wp:simplePos x="0" y="0"/>
                <wp:positionH relativeFrom="column">
                  <wp:posOffset>3018790</wp:posOffset>
                </wp:positionH>
                <wp:positionV relativeFrom="paragraph">
                  <wp:posOffset>7620</wp:posOffset>
                </wp:positionV>
                <wp:extent cx="3312160" cy="2343785"/>
                <wp:effectExtent l="0" t="0" r="0" b="0"/>
                <wp:wrapNone/>
                <wp:docPr id="1046" name="文本框 12"/>
                <wp:cNvGraphicFramePr/>
                <a:graphic xmlns:a="http://schemas.openxmlformats.org/drawingml/2006/main">
                  <a:graphicData uri="http://schemas.microsoft.com/office/word/2010/wordprocessingShape">
                    <wps:wsp>
                      <wps:cNvSpPr txBox="1"/>
                      <wps:spPr>
                        <a:xfrm>
                          <a:off x="4112260" y="4525010"/>
                          <a:ext cx="3312160" cy="234378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tbl>
                            <w:tblPr>
                              <w:tblStyle w:val="58"/>
                              <w:tblW w:w="4636"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790"/>
                              <w:gridCol w:w="790"/>
                              <w:gridCol w:w="790"/>
                              <w:gridCol w:w="792"/>
                              <w:gridCol w:w="792"/>
                              <w:gridCol w:w="778"/>
                              <w:gridCol w:w="10"/>
                              <w:gridCol w:w="11"/>
                              <w:gridCol w:w="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28" w:type="pct"/>
                                <w:trHeight w:val="340" w:hRule="atLeast"/>
                                <w:jc w:val="center"/>
                              </w:trPr>
                              <w:tc>
                                <w:tcPr>
                                  <w:tcW w:w="4971" w:type="pct"/>
                                  <w:gridSpan w:val="6"/>
                                  <w:tcBorders>
                                    <w:tl2br w:val="nil"/>
                                    <w:tr2bl w:val="nil"/>
                                  </w:tcBorders>
                                  <w:shd w:val="clear" w:color="auto" w:fill="00B0F0"/>
                                  <w:vAlign w:val="center"/>
                                </w:tcPr>
                                <w:p>
                                  <w:pPr>
                                    <w:keepNext w:val="0"/>
                                    <w:keepLines w:val="0"/>
                                    <w:widowControl/>
                                    <w:suppressLineNumbers w:val="0"/>
                                    <w:spacing w:before="78" w:beforeLines="25" w:beforeAutospacing="0" w:after="78" w:afterLines="25" w:afterAutospacing="0"/>
                                    <w:ind w:left="0" w:right="0"/>
                                    <w:jc w:val="center"/>
                                    <w:rPr>
                                      <w:rFonts w:hint="eastAsia" w:ascii="等线" w:hAnsi="等线" w:eastAsia="等线" w:cs="Arial"/>
                                      <w:b/>
                                      <w:bCs/>
                                      <w:color w:val="F9FBFA"/>
                                      <w:szCs w:val="21"/>
                                      <w:lang w:val="en-US" w:eastAsia="zh-CN"/>
                                    </w:rPr>
                                  </w:pPr>
                                  <w:r>
                                    <w:rPr>
                                      <w:rFonts w:hint="eastAsia" w:ascii="等线" w:hAnsi="等线" w:eastAsia="等线" w:cs="Arial"/>
                                      <w:b/>
                                      <w:bCs/>
                                      <w:color w:val="F9FBFA"/>
                                      <w:szCs w:val="21"/>
                                      <w:lang w:val="en-US" w:eastAsia="zh-CN"/>
                                    </w:rPr>
                                    <w:t>融合基因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ALK</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NTRK1</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NTRK2</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NTRK3</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RET</w:t>
                                  </w:r>
                                </w:p>
                              </w:tc>
                              <w:tc>
                                <w:tcPr>
                                  <w:tcW w:w="842" w:type="pct"/>
                                  <w:gridSpan w:val="4"/>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ROS1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17" w:type="pct"/>
                                <w:trHeight w:val="340" w:hRule="atLeast"/>
                                <w:jc w:val="center"/>
                              </w:trPr>
                              <w:tc>
                                <w:tcPr>
                                  <w:tcW w:w="4982" w:type="pct"/>
                                  <w:gridSpan w:val="7"/>
                                  <w:tcBorders>
                                    <w:tl2br w:val="nil"/>
                                    <w:tr2bl w:val="nil"/>
                                  </w:tcBorders>
                                  <w:shd w:val="clear" w:color="auto" w:fill="00B0F0"/>
                                  <w:vAlign w:val="center"/>
                                </w:tcPr>
                                <w:p>
                                  <w:pPr>
                                    <w:keepNext w:val="0"/>
                                    <w:keepLines w:val="0"/>
                                    <w:widowControl/>
                                    <w:suppressLineNumbers w:val="0"/>
                                    <w:spacing w:before="78" w:beforeLines="25" w:beforeAutospacing="0" w:after="78" w:afterLines="25" w:afterAutospacing="0"/>
                                    <w:ind w:left="0" w:right="0"/>
                                    <w:jc w:val="center"/>
                                    <w:rPr>
                                      <w:rFonts w:hint="eastAsia" w:ascii="等线" w:hAnsi="等线" w:eastAsia="等线" w:cs="Arial"/>
                                      <w:b/>
                                      <w:bCs/>
                                      <w:color w:val="F9FBFA"/>
                                      <w:szCs w:val="21"/>
                                      <w:lang w:val="en-US" w:eastAsia="zh-CN"/>
                                    </w:rPr>
                                  </w:pPr>
                                  <w:r>
                                    <w:rPr>
                                      <w:rFonts w:hint="eastAsia" w:ascii="等线" w:hAnsi="等线" w:eastAsia="等线" w:cs="Arial"/>
                                      <w:b/>
                                      <w:bCs/>
                                      <w:color w:val="F9FBFA"/>
                                      <w:szCs w:val="21"/>
                                      <w:lang w:val="en-US" w:eastAsia="zh-CN"/>
                                    </w:rPr>
                                    <w:t>拷贝数变异基因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ALK</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CCND</w:t>
                                  </w:r>
                                  <w:r>
                                    <w:rPr>
                                      <w:rFonts w:hint="eastAsia" w:hAnsi="等线" w:cs="等线"/>
                                      <w:i w:val="0"/>
                                      <w:iCs w:val="0"/>
                                      <w:color w:val="000000"/>
                                      <w:kern w:val="0"/>
                                      <w:sz w:val="15"/>
                                      <w:szCs w:val="15"/>
                                      <w:u w:val="none"/>
                                      <w:lang w:val="en-US" w:eastAsia="zh-CN" w:bidi="ar"/>
                                    </w:rPr>
                                    <w:t>2</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CCND</w:t>
                                  </w:r>
                                  <w:r>
                                    <w:rPr>
                                      <w:rFonts w:hint="eastAsia" w:hAnsi="等线" w:cs="等线"/>
                                      <w:i w:val="0"/>
                                      <w:iCs w:val="0"/>
                                      <w:color w:val="000000"/>
                                      <w:kern w:val="0"/>
                                      <w:sz w:val="15"/>
                                      <w:szCs w:val="15"/>
                                      <w:u w:val="none"/>
                                      <w:lang w:val="en-US" w:eastAsia="zh-CN" w:bidi="ar"/>
                                    </w:rPr>
                                    <w:t>3</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CDK4</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CDKN2A</w:t>
                                  </w:r>
                                </w:p>
                              </w:tc>
                              <w:tc>
                                <w:tcPr>
                                  <w:tcW w:w="842" w:type="pct"/>
                                  <w:gridSpan w:val="4"/>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CSF1R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30"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EGFR</w:t>
                                  </w:r>
                                </w:p>
                              </w:tc>
                              <w:tc>
                                <w:tcPr>
                                  <w:tcW w:w="830"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ERBB2</w:t>
                                  </w:r>
                                </w:p>
                              </w:tc>
                              <w:tc>
                                <w:tcPr>
                                  <w:tcW w:w="830"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FGFR1</w:t>
                                  </w:r>
                                </w:p>
                              </w:tc>
                              <w:tc>
                                <w:tcPr>
                                  <w:tcW w:w="832"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FGFR2</w:t>
                                  </w:r>
                                </w:p>
                              </w:tc>
                              <w:tc>
                                <w:tcPr>
                                  <w:tcW w:w="832"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FGFR3</w:t>
                                  </w:r>
                                </w:p>
                              </w:tc>
                              <w:tc>
                                <w:tcPr>
                                  <w:tcW w:w="842" w:type="pct"/>
                                  <w:gridSpan w:val="4"/>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FLT3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default"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w:t>
                                  </w:r>
                                  <w:r>
                                    <w:rPr>
                                      <w:rFonts w:hint="eastAsia" w:hAnsi="等线" w:cs="等线"/>
                                      <w:i w:val="0"/>
                                      <w:iCs w:val="0"/>
                                      <w:color w:val="000000"/>
                                      <w:kern w:val="0"/>
                                      <w:sz w:val="15"/>
                                      <w:szCs w:val="15"/>
                                      <w:u w:val="none"/>
                                      <w:lang w:val="en-US" w:eastAsia="zh-CN" w:bidi="ar"/>
                                    </w:rPr>
                                    <w:t>ET</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default" w:ascii="等线" w:hAnsi="等线" w:eastAsia="等线" w:cs="等线"/>
                                      <w:i w:val="0"/>
                                      <w:iCs w:val="0"/>
                                      <w:color w:val="000000"/>
                                      <w:kern w:val="0"/>
                                      <w:sz w:val="15"/>
                                      <w:szCs w:val="15"/>
                                      <w:u w:val="none"/>
                                      <w:lang w:val="en-US" w:eastAsia="zh-CN" w:bidi="ar"/>
                                    </w:rPr>
                                  </w:pPr>
                                  <w:r>
                                    <w:rPr>
                                      <w:rFonts w:hint="eastAsia" w:hAnsi="等线" w:cs="等线"/>
                                      <w:i w:val="0"/>
                                      <w:iCs w:val="0"/>
                                      <w:color w:val="000000"/>
                                      <w:kern w:val="0"/>
                                      <w:sz w:val="15"/>
                                      <w:szCs w:val="15"/>
                                      <w:u w:val="none"/>
                                      <w:lang w:val="en-US" w:eastAsia="zh-CN" w:bidi="ar"/>
                                    </w:rPr>
                                    <w:t>PTEN</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hAnsi="等线" w:cs="等线"/>
                                      <w:i w:val="0"/>
                                      <w:iCs w:val="0"/>
                                      <w:color w:val="000000"/>
                                      <w:kern w:val="0"/>
                                      <w:sz w:val="15"/>
                                      <w:szCs w:val="15"/>
                                      <w:u w:val="none"/>
                                      <w:lang w:val="en-US" w:eastAsia="zh-CN" w:bidi="ar"/>
                                    </w:rPr>
                                    <w:t>RB1</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c>
                                <w:tcPr>
                                  <w:tcW w:w="842" w:type="pct"/>
                                  <w:gridSpan w:val="4"/>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 w:type="pct"/>
                                <w:trHeight w:val="340" w:hRule="atLeast"/>
                                <w:jc w:val="center"/>
                              </w:trPr>
                              <w:tc>
                                <w:tcPr>
                                  <w:tcW w:w="4993" w:type="pct"/>
                                  <w:gridSpan w:val="8"/>
                                  <w:tcBorders>
                                    <w:tl2br w:val="nil"/>
                                    <w:tr2bl w:val="nil"/>
                                  </w:tcBorders>
                                  <w:shd w:val="clear" w:color="auto" w:fill="00B0F0"/>
                                  <w:vAlign w:val="center"/>
                                </w:tcPr>
                                <w:p>
                                  <w:pPr>
                                    <w:keepNext w:val="0"/>
                                    <w:keepLines w:val="0"/>
                                    <w:widowControl/>
                                    <w:suppressLineNumbers w:val="0"/>
                                    <w:spacing w:before="78" w:beforeLines="25" w:beforeAutospacing="0" w:after="78" w:afterLines="25" w:afterAutospacing="0"/>
                                    <w:ind w:left="0" w:right="0"/>
                                    <w:jc w:val="center"/>
                                    <w:rPr>
                                      <w:rFonts w:hint="eastAsia" w:ascii="等线" w:hAnsi="等线" w:eastAsia="等线" w:cs="Arial"/>
                                      <w:b/>
                                      <w:bCs/>
                                      <w:color w:val="F9FBFA"/>
                                      <w:szCs w:val="21"/>
                                      <w:lang w:val="en-US" w:eastAsia="zh-CN"/>
                                    </w:rPr>
                                  </w:pPr>
                                  <w:r>
                                    <w:rPr>
                                      <w:rFonts w:hint="eastAsia" w:ascii="等线" w:hAnsi="等线" w:eastAsia="等线" w:cs="Arial"/>
                                      <w:b/>
                                      <w:bCs/>
                                      <w:color w:val="F9FBFA"/>
                                      <w:szCs w:val="21"/>
                                      <w:lang w:val="en-US" w:eastAsia="zh-CN"/>
                                    </w:rPr>
                                    <w:t>其他肿瘤相关基因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default" w:ascii="等线" w:hAnsi="等线" w:eastAsia="等线" w:cs="等线"/>
                                      <w:i w:val="0"/>
                                      <w:iCs w:val="0"/>
                                      <w:color w:val="000000"/>
                                      <w:kern w:val="0"/>
                                      <w:sz w:val="15"/>
                                      <w:szCs w:val="15"/>
                                      <w:u w:val="none"/>
                                      <w:lang w:val="en-US" w:eastAsia="zh-CN" w:bidi="ar"/>
                                    </w:rPr>
                                  </w:pPr>
                                  <w:r>
                                    <w:rPr>
                                      <w:rFonts w:hint="eastAsia" w:hAnsi="等线" w:cs="等线"/>
                                      <w:i w:val="0"/>
                                      <w:iCs w:val="0"/>
                                      <w:color w:val="000000"/>
                                      <w:kern w:val="0"/>
                                      <w:sz w:val="15"/>
                                      <w:szCs w:val="15"/>
                                      <w:u w:val="none"/>
                                      <w:lang w:val="en-US" w:eastAsia="zh-CN" w:bidi="ar"/>
                                    </w:rPr>
                                    <w:t>ARID1A</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CTNNB1</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FBXW7</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POLD1</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POLE</w:t>
                                  </w:r>
                                </w:p>
                              </w:tc>
                              <w:tc>
                                <w:tcPr>
                                  <w:tcW w:w="842" w:type="pct"/>
                                  <w:gridSpan w:val="4"/>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r>
                          </w:tbl>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37.7pt;margin-top:0.6pt;height:184.55pt;width:260.8pt;z-index:251705344;mso-width-relative:page;mso-height-relative:page;" filled="f" stroked="f" coordsize="21600,21600" o:gfxdata="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CcigAw2gAAAAkBAAAPAAAAAAAAAAEA&#10;IAAAACIAAABkcnMvZG93bnJldi54bWxQSwECFAAUAAAACACHTuJA2uDHXEYCAAB1BAAADgAAAAAA&#10;AAABACAAAAApAQAAZHJzL2Uyb0RvYy54bWxQSwUGAAAAAAYABgBZAQAA4QUAAAAA&#10;">
                <v:fill on="f" focussize="0,0"/>
                <v:stroke on="f" weight="0.5pt"/>
                <v:imagedata o:title=""/>
                <o:lock v:ext="edit" aspectratio="f"/>
                <v:textbox>
                  <w:txbxContent>
                    <w:tbl>
                      <w:tblPr>
                        <w:tblStyle w:val="58"/>
                        <w:tblW w:w="4636"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790"/>
                        <w:gridCol w:w="790"/>
                        <w:gridCol w:w="790"/>
                        <w:gridCol w:w="792"/>
                        <w:gridCol w:w="792"/>
                        <w:gridCol w:w="778"/>
                        <w:gridCol w:w="10"/>
                        <w:gridCol w:w="11"/>
                        <w:gridCol w:w="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28" w:type="pct"/>
                          <w:trHeight w:val="340" w:hRule="atLeast"/>
                          <w:jc w:val="center"/>
                        </w:trPr>
                        <w:tc>
                          <w:tcPr>
                            <w:tcW w:w="4971" w:type="pct"/>
                            <w:gridSpan w:val="6"/>
                            <w:tcBorders>
                              <w:tl2br w:val="nil"/>
                              <w:tr2bl w:val="nil"/>
                            </w:tcBorders>
                            <w:shd w:val="clear" w:color="auto" w:fill="00B0F0"/>
                            <w:vAlign w:val="center"/>
                          </w:tcPr>
                          <w:p>
                            <w:pPr>
                              <w:keepNext w:val="0"/>
                              <w:keepLines w:val="0"/>
                              <w:widowControl/>
                              <w:suppressLineNumbers w:val="0"/>
                              <w:spacing w:before="78" w:beforeLines="25" w:beforeAutospacing="0" w:after="78" w:afterLines="25" w:afterAutospacing="0"/>
                              <w:ind w:left="0" w:right="0"/>
                              <w:jc w:val="center"/>
                              <w:rPr>
                                <w:rFonts w:hint="eastAsia" w:ascii="等线" w:hAnsi="等线" w:eastAsia="等线" w:cs="Arial"/>
                                <w:b/>
                                <w:bCs/>
                                <w:color w:val="F9FBFA"/>
                                <w:szCs w:val="21"/>
                                <w:lang w:val="en-US" w:eastAsia="zh-CN"/>
                              </w:rPr>
                            </w:pPr>
                            <w:r>
                              <w:rPr>
                                <w:rFonts w:hint="eastAsia" w:ascii="等线" w:hAnsi="等线" w:eastAsia="等线" w:cs="Arial"/>
                                <w:b/>
                                <w:bCs/>
                                <w:color w:val="F9FBFA"/>
                                <w:szCs w:val="21"/>
                                <w:lang w:val="en-US" w:eastAsia="zh-CN"/>
                              </w:rPr>
                              <w:t>融合基因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ALK</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NTRK1</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NTRK2</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NTRK3</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RET</w:t>
                            </w:r>
                          </w:p>
                        </w:tc>
                        <w:tc>
                          <w:tcPr>
                            <w:tcW w:w="842" w:type="pct"/>
                            <w:gridSpan w:val="4"/>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ROS1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17" w:type="pct"/>
                          <w:trHeight w:val="340" w:hRule="atLeast"/>
                          <w:jc w:val="center"/>
                        </w:trPr>
                        <w:tc>
                          <w:tcPr>
                            <w:tcW w:w="4982" w:type="pct"/>
                            <w:gridSpan w:val="7"/>
                            <w:tcBorders>
                              <w:tl2br w:val="nil"/>
                              <w:tr2bl w:val="nil"/>
                            </w:tcBorders>
                            <w:shd w:val="clear" w:color="auto" w:fill="00B0F0"/>
                            <w:vAlign w:val="center"/>
                          </w:tcPr>
                          <w:p>
                            <w:pPr>
                              <w:keepNext w:val="0"/>
                              <w:keepLines w:val="0"/>
                              <w:widowControl/>
                              <w:suppressLineNumbers w:val="0"/>
                              <w:spacing w:before="78" w:beforeLines="25" w:beforeAutospacing="0" w:after="78" w:afterLines="25" w:afterAutospacing="0"/>
                              <w:ind w:left="0" w:right="0"/>
                              <w:jc w:val="center"/>
                              <w:rPr>
                                <w:rFonts w:hint="eastAsia" w:ascii="等线" w:hAnsi="等线" w:eastAsia="等线" w:cs="Arial"/>
                                <w:b/>
                                <w:bCs/>
                                <w:color w:val="F9FBFA"/>
                                <w:szCs w:val="21"/>
                                <w:lang w:val="en-US" w:eastAsia="zh-CN"/>
                              </w:rPr>
                            </w:pPr>
                            <w:r>
                              <w:rPr>
                                <w:rFonts w:hint="eastAsia" w:ascii="等线" w:hAnsi="等线" w:eastAsia="等线" w:cs="Arial"/>
                                <w:b/>
                                <w:bCs/>
                                <w:color w:val="F9FBFA"/>
                                <w:szCs w:val="21"/>
                                <w:lang w:val="en-US" w:eastAsia="zh-CN"/>
                              </w:rPr>
                              <w:t>拷贝数变异基因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ALK</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CCND</w:t>
                            </w:r>
                            <w:r>
                              <w:rPr>
                                <w:rFonts w:hint="eastAsia" w:hAnsi="等线" w:cs="等线"/>
                                <w:i w:val="0"/>
                                <w:iCs w:val="0"/>
                                <w:color w:val="000000"/>
                                <w:kern w:val="0"/>
                                <w:sz w:val="15"/>
                                <w:szCs w:val="15"/>
                                <w:u w:val="none"/>
                                <w:lang w:val="en-US" w:eastAsia="zh-CN" w:bidi="ar"/>
                              </w:rPr>
                              <w:t>2</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CCND</w:t>
                            </w:r>
                            <w:r>
                              <w:rPr>
                                <w:rFonts w:hint="eastAsia" w:hAnsi="等线" w:cs="等线"/>
                                <w:i w:val="0"/>
                                <w:iCs w:val="0"/>
                                <w:color w:val="000000"/>
                                <w:kern w:val="0"/>
                                <w:sz w:val="15"/>
                                <w:szCs w:val="15"/>
                                <w:u w:val="none"/>
                                <w:lang w:val="en-US" w:eastAsia="zh-CN" w:bidi="ar"/>
                              </w:rPr>
                              <w:t>3</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CDK4</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CDKN2A</w:t>
                            </w:r>
                          </w:p>
                        </w:tc>
                        <w:tc>
                          <w:tcPr>
                            <w:tcW w:w="842" w:type="pct"/>
                            <w:gridSpan w:val="4"/>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CSF1R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30"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EGFR</w:t>
                            </w:r>
                          </w:p>
                        </w:tc>
                        <w:tc>
                          <w:tcPr>
                            <w:tcW w:w="830"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ERBB2</w:t>
                            </w:r>
                          </w:p>
                        </w:tc>
                        <w:tc>
                          <w:tcPr>
                            <w:tcW w:w="830"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FGFR1</w:t>
                            </w:r>
                          </w:p>
                        </w:tc>
                        <w:tc>
                          <w:tcPr>
                            <w:tcW w:w="832"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FGFR2</w:t>
                            </w:r>
                          </w:p>
                        </w:tc>
                        <w:tc>
                          <w:tcPr>
                            <w:tcW w:w="832"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FGFR3</w:t>
                            </w:r>
                          </w:p>
                        </w:tc>
                        <w:tc>
                          <w:tcPr>
                            <w:tcW w:w="842" w:type="pct"/>
                            <w:gridSpan w:val="4"/>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FLT3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default"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w:t>
                            </w:r>
                            <w:r>
                              <w:rPr>
                                <w:rFonts w:hint="eastAsia" w:hAnsi="等线" w:cs="等线"/>
                                <w:i w:val="0"/>
                                <w:iCs w:val="0"/>
                                <w:color w:val="000000"/>
                                <w:kern w:val="0"/>
                                <w:sz w:val="15"/>
                                <w:szCs w:val="15"/>
                                <w:u w:val="none"/>
                                <w:lang w:val="en-US" w:eastAsia="zh-CN" w:bidi="ar"/>
                              </w:rPr>
                              <w:t>ET</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default" w:ascii="等线" w:hAnsi="等线" w:eastAsia="等线" w:cs="等线"/>
                                <w:i w:val="0"/>
                                <w:iCs w:val="0"/>
                                <w:color w:val="000000"/>
                                <w:kern w:val="0"/>
                                <w:sz w:val="15"/>
                                <w:szCs w:val="15"/>
                                <w:u w:val="none"/>
                                <w:lang w:val="en-US" w:eastAsia="zh-CN" w:bidi="ar"/>
                              </w:rPr>
                            </w:pPr>
                            <w:r>
                              <w:rPr>
                                <w:rFonts w:hint="eastAsia" w:hAnsi="等线" w:cs="等线"/>
                                <w:i w:val="0"/>
                                <w:iCs w:val="0"/>
                                <w:color w:val="000000"/>
                                <w:kern w:val="0"/>
                                <w:sz w:val="15"/>
                                <w:szCs w:val="15"/>
                                <w:u w:val="none"/>
                                <w:lang w:val="en-US" w:eastAsia="zh-CN" w:bidi="ar"/>
                              </w:rPr>
                              <w:t>PTEN</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hAnsi="等线" w:cs="等线"/>
                                <w:i w:val="0"/>
                                <w:iCs w:val="0"/>
                                <w:color w:val="000000"/>
                                <w:kern w:val="0"/>
                                <w:sz w:val="15"/>
                                <w:szCs w:val="15"/>
                                <w:u w:val="none"/>
                                <w:lang w:val="en-US" w:eastAsia="zh-CN" w:bidi="ar"/>
                              </w:rPr>
                              <w:t>RB1</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c>
                          <w:tcPr>
                            <w:tcW w:w="842" w:type="pct"/>
                            <w:gridSpan w:val="4"/>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 w:type="pct"/>
                          <w:trHeight w:val="340" w:hRule="atLeast"/>
                          <w:jc w:val="center"/>
                        </w:trPr>
                        <w:tc>
                          <w:tcPr>
                            <w:tcW w:w="4993" w:type="pct"/>
                            <w:gridSpan w:val="8"/>
                            <w:tcBorders>
                              <w:tl2br w:val="nil"/>
                              <w:tr2bl w:val="nil"/>
                            </w:tcBorders>
                            <w:shd w:val="clear" w:color="auto" w:fill="00B0F0"/>
                            <w:vAlign w:val="center"/>
                          </w:tcPr>
                          <w:p>
                            <w:pPr>
                              <w:keepNext w:val="0"/>
                              <w:keepLines w:val="0"/>
                              <w:widowControl/>
                              <w:suppressLineNumbers w:val="0"/>
                              <w:spacing w:before="78" w:beforeLines="25" w:beforeAutospacing="0" w:after="78" w:afterLines="25" w:afterAutospacing="0"/>
                              <w:ind w:left="0" w:right="0"/>
                              <w:jc w:val="center"/>
                              <w:rPr>
                                <w:rFonts w:hint="eastAsia" w:ascii="等线" w:hAnsi="等线" w:eastAsia="等线" w:cs="Arial"/>
                                <w:b/>
                                <w:bCs/>
                                <w:color w:val="F9FBFA"/>
                                <w:szCs w:val="21"/>
                                <w:lang w:val="en-US" w:eastAsia="zh-CN"/>
                              </w:rPr>
                            </w:pPr>
                            <w:r>
                              <w:rPr>
                                <w:rFonts w:hint="eastAsia" w:ascii="等线" w:hAnsi="等线" w:eastAsia="等线" w:cs="Arial"/>
                                <w:b/>
                                <w:bCs/>
                                <w:color w:val="F9FBFA"/>
                                <w:szCs w:val="21"/>
                                <w:lang w:val="en-US" w:eastAsia="zh-CN"/>
                              </w:rPr>
                              <w:t>其他肿瘤相关基因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default" w:ascii="等线" w:hAnsi="等线" w:eastAsia="等线" w:cs="等线"/>
                                <w:i w:val="0"/>
                                <w:iCs w:val="0"/>
                                <w:color w:val="000000"/>
                                <w:kern w:val="0"/>
                                <w:sz w:val="15"/>
                                <w:szCs w:val="15"/>
                                <w:u w:val="none"/>
                                <w:lang w:val="en-US" w:eastAsia="zh-CN" w:bidi="ar"/>
                              </w:rPr>
                            </w:pPr>
                            <w:r>
                              <w:rPr>
                                <w:rFonts w:hint="eastAsia" w:hAnsi="等线" w:cs="等线"/>
                                <w:i w:val="0"/>
                                <w:iCs w:val="0"/>
                                <w:color w:val="000000"/>
                                <w:kern w:val="0"/>
                                <w:sz w:val="15"/>
                                <w:szCs w:val="15"/>
                                <w:u w:val="none"/>
                                <w:lang w:val="en-US" w:eastAsia="zh-CN" w:bidi="ar"/>
                              </w:rPr>
                              <w:t>ARID1A</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CTNNB1</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FBXW7</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POLD1</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POLE</w:t>
                            </w:r>
                          </w:p>
                        </w:tc>
                        <w:tc>
                          <w:tcPr>
                            <w:tcW w:w="842" w:type="pct"/>
                            <w:gridSpan w:val="4"/>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r>
                    </w:tbl>
                    <w:p/>
                  </w:txbxContent>
                </v:textbox>
              </v:shape>
            </w:pict>
          </mc:Fallback>
        </mc:AlternateContent>
      </w:r>
    </w:p>
    <w:p/>
    <w:p/>
    <w:p/>
    <w:p>
      <w:r>
        <w:rPr>
          <w:sz w:val="21"/>
        </w:rPr>
        <mc:AlternateContent>
          <mc:Choice Requires="wps">
            <w:drawing>
              <wp:anchor distT="0" distB="0" distL="114300" distR="114300" simplePos="0" relativeHeight="251703296" behindDoc="0" locked="0" layoutInCell="1" allowOverlap="1">
                <wp:simplePos x="0" y="0"/>
                <wp:positionH relativeFrom="column">
                  <wp:posOffset>-208280</wp:posOffset>
                </wp:positionH>
                <wp:positionV relativeFrom="paragraph">
                  <wp:posOffset>39370</wp:posOffset>
                </wp:positionV>
                <wp:extent cx="3312160" cy="1451610"/>
                <wp:effectExtent l="0" t="0" r="0" b="0"/>
                <wp:wrapNone/>
                <wp:docPr id="1047" name="文本框 9"/>
                <wp:cNvGraphicFramePr/>
                <a:graphic xmlns:a="http://schemas.openxmlformats.org/drawingml/2006/main">
                  <a:graphicData uri="http://schemas.microsoft.com/office/word/2010/wordprocessingShape">
                    <wps:wsp>
                      <wps:cNvSpPr txBox="1"/>
                      <wps:spPr>
                        <a:xfrm>
                          <a:off x="4185920" y="2305050"/>
                          <a:ext cx="3312160" cy="14516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tbl>
                            <w:tblPr>
                              <w:tblStyle w:val="58"/>
                              <w:tblW w:w="4638"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66"/>
                              <w:gridCol w:w="777"/>
                              <w:gridCol w:w="778"/>
                              <w:gridCol w:w="779"/>
                              <w:gridCol w:w="780"/>
                              <w:gridCol w:w="78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4998" w:type="pct"/>
                                  <w:gridSpan w:val="6"/>
                                  <w:tcBorders>
                                    <w:tl2br w:val="nil"/>
                                    <w:tr2bl w:val="nil"/>
                                  </w:tcBorders>
                                  <w:shd w:val="clear" w:color="auto" w:fill="F18E2D"/>
                                  <w:vAlign w:val="center"/>
                                </w:tcPr>
                                <w:p>
                                  <w:pPr>
                                    <w:keepNext w:val="0"/>
                                    <w:keepLines w:val="0"/>
                                    <w:widowControl/>
                                    <w:suppressLineNumbers w:val="0"/>
                                    <w:spacing w:before="78" w:beforeLines="25" w:beforeAutospacing="0" w:after="78" w:afterLines="25" w:afterAutospacing="0"/>
                                    <w:ind w:left="0" w:right="0"/>
                                    <w:jc w:val="center"/>
                                    <w:rPr>
                                      <w:rFonts w:hint="eastAsia" w:ascii="等线" w:hAnsi="等线" w:eastAsia="等线" w:cs="Arial"/>
                                      <w:b/>
                                      <w:bCs/>
                                      <w:color w:val="F9FBFA"/>
                                      <w:szCs w:val="21"/>
                                    </w:rPr>
                                  </w:pPr>
                                  <w:r>
                                    <w:rPr>
                                      <w:rFonts w:hint="eastAsia" w:ascii="等线" w:hAnsi="等线" w:eastAsia="等线" w:cs="Arial"/>
                                      <w:b/>
                                      <w:bCs/>
                                      <w:color w:val="F9FBFA"/>
                                      <w:szCs w:val="21"/>
                                    </w:rPr>
                                    <w:t>化疗用药相关基因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909"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ABCB1</w:t>
                                  </w:r>
                                </w:p>
                              </w:tc>
                              <w:tc>
                                <w:tcPr>
                                  <w:tcW w:w="816"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CASP7</w:t>
                                  </w:r>
                                </w:p>
                              </w:tc>
                              <w:tc>
                                <w:tcPr>
                                  <w:tcW w:w="817"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CDA</w:t>
                                  </w:r>
                                </w:p>
                              </w:tc>
                              <w:tc>
                                <w:tcPr>
                                  <w:tcW w:w="818"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CYP2C8</w:t>
                                  </w:r>
                                </w:p>
                              </w:tc>
                              <w:tc>
                                <w:tcPr>
                                  <w:tcW w:w="818"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CYP3A4</w:t>
                                  </w:r>
                                </w:p>
                              </w:tc>
                              <w:tc>
                                <w:tcPr>
                                  <w:tcW w:w="818"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DPYD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909"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DYNC2H1</w:t>
                                  </w:r>
                                </w:p>
                              </w:tc>
                              <w:tc>
                                <w:tcPr>
                                  <w:tcW w:w="816"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ERCC1</w:t>
                                  </w:r>
                                </w:p>
                              </w:tc>
                              <w:tc>
                                <w:tcPr>
                                  <w:tcW w:w="817"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ERCC2</w:t>
                                  </w:r>
                                </w:p>
                              </w:tc>
                              <w:tc>
                                <w:tcPr>
                                  <w:tcW w:w="818"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GSTP1</w:t>
                                  </w:r>
                                </w:p>
                              </w:tc>
                              <w:tc>
                                <w:tcPr>
                                  <w:tcW w:w="818"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HAS3</w:t>
                                  </w:r>
                                </w:p>
                              </w:tc>
                              <w:tc>
                                <w:tcPr>
                                  <w:tcW w:w="818"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MTHFR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909"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NQO1</w:t>
                                  </w:r>
                                </w:p>
                              </w:tc>
                              <w:tc>
                                <w:tcPr>
                                  <w:tcW w:w="816"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SOD2</w:t>
                                  </w:r>
                                </w:p>
                              </w:tc>
                              <w:tc>
                                <w:tcPr>
                                  <w:tcW w:w="817"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TPMT</w:t>
                                  </w:r>
                                </w:p>
                              </w:tc>
                              <w:tc>
                                <w:tcPr>
                                  <w:tcW w:w="818"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TYMS</w:t>
                                  </w:r>
                                </w:p>
                              </w:tc>
                              <w:tc>
                                <w:tcPr>
                                  <w:tcW w:w="818"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UGT1A1</w:t>
                                  </w:r>
                                </w:p>
                              </w:tc>
                              <w:tc>
                                <w:tcPr>
                                  <w:tcW w:w="818"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XPC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909"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XRCC1</w:t>
                                  </w:r>
                                </w:p>
                              </w:tc>
                              <w:tc>
                                <w:tcPr>
                                  <w:tcW w:w="816"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c>
                                <w:tcPr>
                                  <w:tcW w:w="817"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c>
                                <w:tcPr>
                                  <w:tcW w:w="818"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c>
                                <w:tcPr>
                                  <w:tcW w:w="818"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c>
                                <w:tcPr>
                                  <w:tcW w:w="818"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r>
                          </w:tbl>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6.4pt;margin-top:3.1pt;height:114.3pt;width:260.8pt;z-index:251703296;mso-width-relative:page;mso-height-relative:page;" filled="f" stroked="f" coordsize="21600,21600" o:gfxdata="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NMEQh9oAAAAJAQAADwAAAAAAAAAB&#10;ACAAAAAiAAAAZHJzL2Rvd25yZXYueG1sUEsBAhQAFAAAAAgAh07iQMBUUeNHAgAAcwQAAA4AAAAA&#10;AAAAAQAgAAAAKQEAAGRycy9lMm9Eb2MueG1sUEsFBgAAAAAGAAYAWQEAAOIFAAAAAA==&#10;">
                <v:fill on="f" focussize="0,0"/>
                <v:stroke on="f" weight="0.5pt"/>
                <v:imagedata o:title=""/>
                <o:lock v:ext="edit" aspectratio="f"/>
                <v:textbox>
                  <w:txbxContent>
                    <w:tbl>
                      <w:tblPr>
                        <w:tblStyle w:val="58"/>
                        <w:tblW w:w="4638"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66"/>
                        <w:gridCol w:w="777"/>
                        <w:gridCol w:w="778"/>
                        <w:gridCol w:w="779"/>
                        <w:gridCol w:w="780"/>
                        <w:gridCol w:w="78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4998" w:type="pct"/>
                            <w:gridSpan w:val="6"/>
                            <w:tcBorders>
                              <w:tl2br w:val="nil"/>
                              <w:tr2bl w:val="nil"/>
                            </w:tcBorders>
                            <w:shd w:val="clear" w:color="auto" w:fill="F18E2D"/>
                            <w:vAlign w:val="center"/>
                          </w:tcPr>
                          <w:p>
                            <w:pPr>
                              <w:keepNext w:val="0"/>
                              <w:keepLines w:val="0"/>
                              <w:widowControl/>
                              <w:suppressLineNumbers w:val="0"/>
                              <w:spacing w:before="78" w:beforeLines="25" w:beforeAutospacing="0" w:after="78" w:afterLines="25" w:afterAutospacing="0"/>
                              <w:ind w:left="0" w:right="0"/>
                              <w:jc w:val="center"/>
                              <w:rPr>
                                <w:rFonts w:hint="eastAsia" w:ascii="等线" w:hAnsi="等线" w:eastAsia="等线" w:cs="Arial"/>
                                <w:b/>
                                <w:bCs/>
                                <w:color w:val="F9FBFA"/>
                                <w:szCs w:val="21"/>
                              </w:rPr>
                            </w:pPr>
                            <w:r>
                              <w:rPr>
                                <w:rFonts w:hint="eastAsia" w:ascii="等线" w:hAnsi="等线" w:eastAsia="等线" w:cs="Arial"/>
                                <w:b/>
                                <w:bCs/>
                                <w:color w:val="F9FBFA"/>
                                <w:szCs w:val="21"/>
                              </w:rPr>
                              <w:t>化疗用药相关基因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909"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ABCB1</w:t>
                            </w:r>
                          </w:p>
                        </w:tc>
                        <w:tc>
                          <w:tcPr>
                            <w:tcW w:w="816"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CASP7</w:t>
                            </w:r>
                          </w:p>
                        </w:tc>
                        <w:tc>
                          <w:tcPr>
                            <w:tcW w:w="817"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CDA</w:t>
                            </w:r>
                          </w:p>
                        </w:tc>
                        <w:tc>
                          <w:tcPr>
                            <w:tcW w:w="818"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CYP2C8</w:t>
                            </w:r>
                          </w:p>
                        </w:tc>
                        <w:tc>
                          <w:tcPr>
                            <w:tcW w:w="818"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CYP3A4</w:t>
                            </w:r>
                          </w:p>
                        </w:tc>
                        <w:tc>
                          <w:tcPr>
                            <w:tcW w:w="818"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DPYD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909"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DYNC2H1</w:t>
                            </w:r>
                          </w:p>
                        </w:tc>
                        <w:tc>
                          <w:tcPr>
                            <w:tcW w:w="816"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ERCC1</w:t>
                            </w:r>
                          </w:p>
                        </w:tc>
                        <w:tc>
                          <w:tcPr>
                            <w:tcW w:w="817"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ERCC2</w:t>
                            </w:r>
                          </w:p>
                        </w:tc>
                        <w:tc>
                          <w:tcPr>
                            <w:tcW w:w="818"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GSTP1</w:t>
                            </w:r>
                          </w:p>
                        </w:tc>
                        <w:tc>
                          <w:tcPr>
                            <w:tcW w:w="818"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HAS3</w:t>
                            </w:r>
                          </w:p>
                        </w:tc>
                        <w:tc>
                          <w:tcPr>
                            <w:tcW w:w="818"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MTHFR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909"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NQO1</w:t>
                            </w:r>
                          </w:p>
                        </w:tc>
                        <w:tc>
                          <w:tcPr>
                            <w:tcW w:w="816"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SOD2</w:t>
                            </w:r>
                          </w:p>
                        </w:tc>
                        <w:tc>
                          <w:tcPr>
                            <w:tcW w:w="817"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TPMT</w:t>
                            </w:r>
                          </w:p>
                        </w:tc>
                        <w:tc>
                          <w:tcPr>
                            <w:tcW w:w="818"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TYMS</w:t>
                            </w:r>
                          </w:p>
                        </w:tc>
                        <w:tc>
                          <w:tcPr>
                            <w:tcW w:w="818"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UGT1A1</w:t>
                            </w:r>
                          </w:p>
                        </w:tc>
                        <w:tc>
                          <w:tcPr>
                            <w:tcW w:w="818"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XPC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909"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XRCC1</w:t>
                            </w:r>
                          </w:p>
                        </w:tc>
                        <w:tc>
                          <w:tcPr>
                            <w:tcW w:w="816"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c>
                          <w:tcPr>
                            <w:tcW w:w="817"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c>
                          <w:tcPr>
                            <w:tcW w:w="818"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c>
                          <w:tcPr>
                            <w:tcW w:w="818"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c>
                          <w:tcPr>
                            <w:tcW w:w="818"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r>
                    </w:tbl>
                    <w:p/>
                  </w:txbxContent>
                </v:textbox>
              </v:shape>
            </w:pict>
          </mc:Fallback>
        </mc:AlternateContent>
      </w:r>
    </w:p>
    <w:p/>
    <w:p/>
    <w:p/>
    <w:p>
      <w:pPr>
        <w:rPr>
          <w:rFonts w:hint="eastAsia"/>
        </w:rPr>
      </w:pPr>
      <w:bookmarkStart w:id="91" w:name="基因简介"/>
      <w:bookmarkEnd w:id="91"/>
      <w:bookmarkStart w:id="92" w:name="_Toc89103166"/>
      <w:bookmarkStart w:id="93" w:name="_Ref80371515"/>
      <w:bookmarkStart w:id="94" w:name="_Toc81378424"/>
      <w:bookmarkStart w:id="95" w:name="_Ref80371523"/>
      <w:bookmarkStart w:id="96" w:name="_Toc81378425"/>
      <w:bookmarkStart w:id="97" w:name="_Ref80948870"/>
    </w:p>
    <w:p>
      <w:pPr>
        <w:rPr>
          <w:rFonts w:hint="eastAsia"/>
        </w:rPr>
      </w:pPr>
    </w:p>
    <w:p>
      <w:pPr>
        <w:rPr>
          <w:rFonts w:hint="eastAsia"/>
        </w:rPr>
      </w:pPr>
    </w:p>
    <w:p>
      <w:pPr>
        <w:spacing w:before="340" w:line="360" w:lineRule="auto"/>
        <w:ind w:firstLine="600" w:firstLineChars="200"/>
        <w:jc w:val="left"/>
        <w:outlineLvl w:val="1"/>
        <w:rPr>
          <w:rFonts w:hAnsi="等线" w:cs="Arial"/>
          <w:b/>
          <w:bCs/>
          <w:color w:val="00B0F0"/>
          <w:sz w:val="30"/>
          <w:szCs w:val="30"/>
        </w:rPr>
      </w:pPr>
      <w:r>
        <w:rPr>
          <w:rFonts w:hAnsi="等线" w:cs="Arial"/>
          <w:b/>
          <w:bCs/>
          <w:color w:val="00B0F0"/>
          <w:sz w:val="30"/>
          <w:szCs w:val="30"/>
        </w:rPr>
        <w:drawing>
          <wp:anchor distT="0" distB="0" distL="114300" distR="114300" simplePos="0" relativeHeight="251679744" behindDoc="0" locked="0" layoutInCell="1" allowOverlap="1">
            <wp:simplePos x="0" y="0"/>
            <wp:positionH relativeFrom="column">
              <wp:posOffset>-9525</wp:posOffset>
            </wp:positionH>
            <wp:positionV relativeFrom="paragraph">
              <wp:posOffset>250190</wp:posOffset>
            </wp:positionV>
            <wp:extent cx="295275" cy="297180"/>
            <wp:effectExtent l="0" t="0" r="9525" b="7620"/>
            <wp:wrapNone/>
            <wp:docPr id="1048" name="图片 69" descr="D:\解码\4x\资源 4@47.png资源 4@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D:\解码\4x\资源 4@47.png资源 4@47"/>
                    <pic:cNvPicPr>
                      <a:picLocks noChangeAspect="1"/>
                    </pic:cNvPicPr>
                  </pic:nvPicPr>
                  <pic:blipFill>
                    <a:blip r:embed="rId16"/>
                    <a:srcRect/>
                    <a:stretch>
                      <a:fillRect/>
                    </a:stretch>
                  </pic:blipFill>
                  <pic:spPr>
                    <a:xfrm>
                      <a:off x="0" y="0"/>
                      <a:ext cx="295275" cy="297180"/>
                    </a:xfrm>
                    <a:prstGeom prst="rect">
                      <a:avLst/>
                    </a:prstGeom>
                  </pic:spPr>
                </pic:pic>
              </a:graphicData>
            </a:graphic>
          </wp:anchor>
        </w:drawing>
      </w:r>
      <w:r>
        <w:rPr>
          <w:rFonts w:hint="eastAsia" w:hAnsi="等线" w:cs="Arial"/>
          <w:b/>
          <w:bCs/>
          <w:color w:val="00B0F0"/>
          <w:sz w:val="30"/>
          <w:szCs w:val="30"/>
        </w:rPr>
        <w:t>重要基因简介</w:t>
      </w:r>
      <w:bookmarkEnd w:id="92"/>
    </w:p>
    <w:bookmarkEnd w:id="93"/>
    <w:bookmarkEnd w:id="94"/>
    <w:bookmarkEnd w:id="95"/>
    <w:bookmarkEnd w:id="96"/>
    <w:bookmarkEnd w:id="97"/>
    <w:tbl>
      <w:tblPr>
        <w:tblStyle w:val="59"/>
        <w:tblW w:w="5000" w:type="pct"/>
        <w:jc w:val="center"/>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Layout w:type="autofit"/>
        <w:tblCellMar>
          <w:top w:w="0" w:type="dxa"/>
          <w:left w:w="108" w:type="dxa"/>
          <w:bottom w:w="0" w:type="dxa"/>
          <w:right w:w="108" w:type="dxa"/>
        </w:tblCellMar>
      </w:tblPr>
      <w:tblGrid>
        <w:gridCol w:w="1611"/>
        <w:gridCol w:w="8244"/>
      </w:tblGrid>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trHeight w:val="595" w:hRule="atLeast"/>
          <w:tblHeader/>
          <w:jc w:val="center"/>
        </w:trPr>
        <w:tc>
          <w:tcPr>
            <w:tcW w:w="817" w:type="pct"/>
            <w:tcBorders>
              <w:bottom w:val="nil"/>
              <w:right w:val="nil"/>
            </w:tcBorders>
            <w:shd w:val="clear" w:color="auto" w:fill="4472C4"/>
            <w:vAlign w:val="center"/>
          </w:tcPr>
          <w:p>
            <w:pPr>
              <w:jc w:val="center"/>
              <w:rPr>
                <w:rFonts w:hAnsi="等线"/>
                <w:b/>
                <w:bCs/>
                <w:color w:val="FFFFFF"/>
                <w:sz w:val="24"/>
                <w:szCs w:val="24"/>
              </w:rPr>
            </w:pPr>
            <w:r>
              <w:rPr>
                <w:rFonts w:hint="eastAsia" w:hAnsi="等线"/>
                <w:b/>
                <w:bCs/>
                <w:color w:val="FFFFFF"/>
                <w:sz w:val="24"/>
                <w:szCs w:val="24"/>
              </w:rPr>
              <w:t>基因</w:t>
            </w:r>
          </w:p>
        </w:tc>
        <w:tc>
          <w:tcPr>
            <w:tcW w:w="4182" w:type="pct"/>
            <w:shd w:val="clear" w:color="auto" w:fill="4472C4"/>
            <w:vAlign w:val="center"/>
          </w:tcPr>
          <w:p>
            <w:pPr>
              <w:jc w:val="center"/>
              <w:rPr>
                <w:rFonts w:hAnsi="等线"/>
                <w:b/>
                <w:bCs/>
                <w:color w:val="FFFFFF"/>
                <w:sz w:val="24"/>
                <w:szCs w:val="24"/>
              </w:rPr>
            </w:pPr>
            <w:r>
              <w:rPr>
                <w:rFonts w:hint="eastAsia" w:hAnsi="等线"/>
                <w:b/>
                <w:bCs/>
                <w:color w:val="FFFFFF"/>
                <w:sz w:val="24"/>
                <w:szCs w:val="24"/>
              </w:rPr>
              <w:t>基因功能</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ALK</w:t>
            </w:r>
          </w:p>
        </w:tc>
        <w:tc>
          <w:tcPr>
            <w:tcW w:w="4182" w:type="pct"/>
            <w:vAlign w:val="center"/>
          </w:tcPr>
          <w:p>
            <w:pPr>
              <w:rPr>
                <w:rFonts w:hAnsi="等线"/>
                <w:color w:val="000000"/>
                <w:sz w:val="18"/>
                <w:szCs w:val="18"/>
              </w:rPr>
            </w:pPr>
            <w:r>
              <w:rPr>
                <w:rFonts w:hAnsi="等线"/>
                <w:color w:val="000000"/>
                <w:sz w:val="18"/>
                <w:szCs w:val="18"/>
              </w:rPr>
              <w:t>ALK（人类间变性淋巴瘤激酶）是一种受体酪氨酸激酶，属于胰岛素受体家族。野生型ALK在神经系统的发育中起功能性作用，参与对细胞外刺激因子的</w:t>
            </w:r>
            <w:r>
              <w:rPr>
                <w:rFonts w:hint="eastAsia" w:hAnsi="等线"/>
                <w:color w:val="000000"/>
                <w:sz w:val="18"/>
                <w:szCs w:val="18"/>
              </w:rPr>
              <w:t>响</w:t>
            </w:r>
            <w:r>
              <w:rPr>
                <w:rFonts w:hAnsi="等线"/>
                <w:color w:val="000000"/>
                <w:sz w:val="18"/>
                <w:szCs w:val="18"/>
              </w:rPr>
              <w:t>应，控制细胞增殖、存活和分化。属于分泌型生长因子的多效生长因子（PTN）和中期因子（MK）被认为是ALK的生理性配体（PMID: 11278720; PMID: 12122009），然而，对于PTN和MK是否是真正的配体尚存在争议（PMID: 15886198）。ALK一旦被激活就会通过PI3K/AKT，MAPK/ERK和STAT3途径传递信号（PMID: 19459784）</w:t>
            </w:r>
            <w:r>
              <w:rPr>
                <w:rFonts w:hint="eastAsia" w:hAnsi="等线"/>
                <w:color w:val="000000"/>
                <w:sz w:val="18"/>
                <w:szCs w:val="18"/>
              </w:rPr>
              <w:t>。</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ATM</w:t>
            </w:r>
          </w:p>
        </w:tc>
        <w:tc>
          <w:tcPr>
            <w:tcW w:w="4182" w:type="pct"/>
            <w:vAlign w:val="center"/>
          </w:tcPr>
          <w:p>
            <w:pPr>
              <w:rPr>
                <w:rFonts w:hAnsi="等线"/>
                <w:color w:val="000000"/>
                <w:sz w:val="18"/>
                <w:szCs w:val="18"/>
              </w:rPr>
            </w:pPr>
            <w:r>
              <w:rPr>
                <w:rFonts w:hint="eastAsia" w:hAnsi="等线"/>
                <w:color w:val="000000"/>
                <w:sz w:val="18"/>
                <w:szCs w:val="18"/>
              </w:rPr>
              <w:t>ATM是一种丝氨酸-苏氨酸蛋白激酶，属于丝氨酸-苏氨酸激酶家族的成员，通过激活独特的DNA修复和信号传导途径来协调细胞对DNA损伤的反应（PMID: 22079189）。ATM胚系突变与共济失调毛细血管扩张症（ataxia telangiectasia，简称A-T症）有关（PMID: 27283171），A-T症患者也容易罹患多种癌症，特别是儿童淋巴瘤、白血病和乳腺癌（PMID: 21792198）。ATM体细胞突变常见于子宫内膜癌、结肠癌、胰腺癌和乳腺癌（PMID: 27283171，PMID: 27413114）和尿路上皮癌（PMID: 29682192）。</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BARD1</w:t>
            </w:r>
          </w:p>
        </w:tc>
        <w:tc>
          <w:tcPr>
            <w:tcW w:w="4182" w:type="pct"/>
            <w:vAlign w:val="center"/>
          </w:tcPr>
          <w:p>
            <w:pPr>
              <w:rPr>
                <w:rFonts w:hAnsi="等线"/>
                <w:color w:val="000000"/>
                <w:sz w:val="18"/>
                <w:szCs w:val="18"/>
              </w:rPr>
            </w:pPr>
            <w:r>
              <w:rPr>
                <w:rFonts w:hint="eastAsia" w:hAnsi="等线"/>
                <w:color w:val="000000"/>
                <w:sz w:val="18"/>
                <w:szCs w:val="18"/>
              </w:rPr>
              <w:t>BARD1是一种接头蛋白，当与BRCA1结合时具有E3连接酶活性（PMID: 11573085）。BRCA1是一个特征明确的肿瘤抑制因子，其功能是通过同源重组和细胞周期检查点激活来修复DNA双链断裂，从而维持基因组完整性（PMID: 11278247）。BARD1-BRCA1复合物涉及多种细胞进程，包括DNA修复、基因表达、复制叉稳定性维持以及染色质调节的各个阶段（PMID: 27239795）。BARD1与BRCA1相互作用，结合至新复制DNA上的损伤部位，并对组蛋白H2A的赖氨酸残基进行单泛素化修饰（PMID: 30804502）。然后，BARD1-BRCA1复合体介导DNA损伤部位的切除，将拮抗性修复蛋白53BP1驱逐出去，并募集一些DNA损伤反应蛋白（包括RAD51）到受损部位（PMID: 27239795）。聚（ADP-核糖）介导了早期BRCA1-BARD1复合物募集到受损DNA位点的过程（PMID: 25634209）。乳腺癌小鼠模型中BARD1的失活导致了与BRCA1缺失相似的表型，说明BRAD1和BRCA1可能有相似的基因功能（PMID: 18443292）。</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BRAF</w:t>
            </w:r>
          </w:p>
        </w:tc>
        <w:tc>
          <w:tcPr>
            <w:tcW w:w="4182" w:type="pct"/>
            <w:vAlign w:val="center"/>
          </w:tcPr>
          <w:p>
            <w:pPr>
              <w:rPr>
                <w:rFonts w:hAnsi="等线"/>
                <w:color w:val="000000"/>
                <w:sz w:val="18"/>
                <w:szCs w:val="18"/>
              </w:rPr>
            </w:pPr>
            <w:r>
              <w:rPr>
                <w:rFonts w:hAnsi="等线"/>
                <w:color w:val="000000"/>
                <w:sz w:val="18"/>
                <w:szCs w:val="18"/>
              </w:rPr>
              <w:t>BRAF是MAP激酶级联信号通路中一种重要的丝氨酸/苏氨酸蛋白激酶。当生长因子与受体结合时，受体的酪氨酸激酶结构域激活并通过RAS激酶向下游发出信号。RAF蛋白是活化RAS蛋白的直接效应因子（PMID: 8503013; PMID: 8327501）。RAF二聚体（BRAF，ARAF，CRAF）通过磷酸化和激活MEK进一步传递该级联信号（PMID: 24957944）。激活的MEK-ERK信号可以促进细胞增殖、存活、迁移和分化。BRAF的存在对正常发育至关重要</w:t>
            </w:r>
            <w:r>
              <w:rPr>
                <w:rFonts w:hint="eastAsia" w:hAnsi="等线"/>
                <w:color w:val="000000"/>
                <w:sz w:val="18"/>
                <w:szCs w:val="18"/>
              </w:rPr>
              <w:t>；</w:t>
            </w:r>
            <w:r>
              <w:rPr>
                <w:rFonts w:hAnsi="等线"/>
                <w:color w:val="000000"/>
                <w:sz w:val="18"/>
                <w:szCs w:val="18"/>
              </w:rPr>
              <w:t>然而，不受抑制的BRAF信号可以促进肿瘤发生</w:t>
            </w:r>
            <w:r>
              <w:rPr>
                <w:rFonts w:hint="eastAsia" w:hAnsi="等线"/>
                <w:color w:val="000000"/>
                <w:sz w:val="18"/>
                <w:szCs w:val="18"/>
              </w:rPr>
              <w:t>。</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BRCA1</w:t>
            </w:r>
          </w:p>
        </w:tc>
        <w:tc>
          <w:tcPr>
            <w:tcW w:w="4182" w:type="pct"/>
            <w:vAlign w:val="center"/>
          </w:tcPr>
          <w:p>
            <w:pPr>
              <w:rPr>
                <w:rFonts w:hAnsi="等线"/>
                <w:color w:val="000000"/>
                <w:sz w:val="18"/>
                <w:szCs w:val="18"/>
              </w:rPr>
            </w:pPr>
            <w:r>
              <w:rPr>
                <w:rFonts w:hint="eastAsia" w:hAnsi="等线"/>
                <w:color w:val="000000"/>
                <w:sz w:val="18"/>
                <w:szCs w:val="18"/>
              </w:rPr>
              <w:t>BRCA1（乳腺癌易感基因1）是一种抑癌基因，基因表达产物具有E3泛素连接酶的多功能活性。BRCA1参与调控多种细胞进程，包括转录、蛋白质泛素化、细胞周期调控和DNA损伤反应，在同源重组过程中对DNA修复具有特别重要的作用（PMID: 22193408）。BRCA1可以与已知的肿瘤抑制因子（包括RAD51，BRCA2，BARD1和PALB2）形成蛋白质复合物；具体来说，BRCA1和BARD1促进DNA末端切除并增强重组酶RAD51的活性（PMID: 28976962）。BRCA1是第一个被鉴定和克隆的乳腺癌和卵巢癌易感基因；该基因的遗传突变导致罹患这些癌症的终生风险增加。在携带BRCA1始祖突变的德系犹太人患者中，BRCA1突变可致罹患乳腺癌的终生风险为70-80%，患卵巢癌终生风险为50%，且患前列腺癌的风险增加（PMID: 22193408）。遗传性乳腺癌和卵巢癌（HBOC）综合征，该病通过常染色体显性遗传（PMID: 22193408）。BRCA1最近还被确认为FANCS亚型范可尼贫血的易感基因，该病是一种罕见的范可尼贫血亚型，由BRCA1基因的双等位基因突变所致（PMID: 25472942）。BRCA1突变可能会破坏促进DNA修复的蛋白间相互作用（PMID: 10918303）。</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BRCA2</w:t>
            </w:r>
          </w:p>
        </w:tc>
        <w:tc>
          <w:tcPr>
            <w:tcW w:w="4182" w:type="pct"/>
            <w:vAlign w:val="center"/>
          </w:tcPr>
          <w:p>
            <w:pPr>
              <w:rPr>
                <w:rFonts w:hAnsi="等线"/>
                <w:color w:val="000000"/>
                <w:sz w:val="18"/>
                <w:szCs w:val="18"/>
              </w:rPr>
            </w:pPr>
            <w:r>
              <w:rPr>
                <w:rFonts w:hint="eastAsia" w:hAnsi="等线"/>
                <w:color w:val="000000"/>
                <w:sz w:val="18"/>
                <w:szCs w:val="18"/>
              </w:rPr>
              <w:t>BRCA2（乳腺癌易感基因2）是一种抑癌基因，表达产物起着DNA修复蛋白的作用。BRCA2参与调控多种细胞进程，包括转录、细胞周期调控和DNA损伤反应，BRCA2对同源重组过程中的DNA修复具有特别重要的作用（PMID: 22193408）。BRCA2可以与已知的肿瘤抑制因子（包括RAD51，BRCA1和PALB2）形成蛋白质复合物：具体来说，BRCA2和单链DNA结合并将RAD51单体招募至DNA双链断裂位点（PMID: 28976962）。RAD51需要BRCA1-BRCA2-PALB2复合物才能启动同源重组过程（PMID: 11239455）。BRCA2是一种肿瘤抑制蛋白，如果BRCA2基因的一个拷贝在胚系失活，会导致遗传性乳腺癌和卵巢癌（HBOC）综合征，该病通过常染色体显性遗传（PMID: 15800615）。BRCA2还被确认为范可尼贫血的易感基因，该基因的双等位基因突变会导致范可尼贫血的发生（PMID: 12065746）。</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BRIP1</w:t>
            </w:r>
          </w:p>
        </w:tc>
        <w:tc>
          <w:tcPr>
            <w:tcW w:w="4182" w:type="pct"/>
            <w:vAlign w:val="center"/>
          </w:tcPr>
          <w:p>
            <w:pPr>
              <w:rPr>
                <w:rFonts w:hAnsi="等线"/>
                <w:color w:val="000000"/>
                <w:sz w:val="18"/>
                <w:szCs w:val="18"/>
              </w:rPr>
            </w:pPr>
            <w:r>
              <w:rPr>
                <w:rFonts w:hint="eastAsia" w:hAnsi="等线"/>
                <w:color w:val="000000"/>
                <w:sz w:val="18"/>
                <w:szCs w:val="18"/>
              </w:rPr>
              <w:t>BRIP1（BACH1和FANCJ）是RecQ</w:t>
            </w:r>
            <w:r>
              <w:rPr>
                <w:rFonts w:hAnsi="等线"/>
                <w:color w:val="000000"/>
                <w:sz w:val="18"/>
                <w:szCs w:val="18"/>
              </w:rPr>
              <w:t xml:space="preserve"> </w:t>
            </w:r>
            <w:r>
              <w:rPr>
                <w:rFonts w:hint="eastAsia" w:hAnsi="等线"/>
                <w:color w:val="000000"/>
                <w:sz w:val="18"/>
                <w:szCs w:val="18"/>
              </w:rPr>
              <w:t>DEAH解旋酶家族的成员。DEAH解旋酶参与前体mRNA的剪接以及核糖体的合成（PMID: 20168331）。BRIP1与BRCA1相互作用，结合生成的复合物在正常的BRCA1双链断裂修复功能发挥重要作用（PMID: 17033622）。</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CDK4</w:t>
            </w:r>
          </w:p>
        </w:tc>
        <w:tc>
          <w:tcPr>
            <w:tcW w:w="4182" w:type="pct"/>
            <w:vAlign w:val="center"/>
          </w:tcPr>
          <w:p>
            <w:pPr>
              <w:rPr>
                <w:rFonts w:hAnsi="等线"/>
                <w:color w:val="000000"/>
                <w:sz w:val="18"/>
                <w:szCs w:val="18"/>
              </w:rPr>
            </w:pPr>
            <w:r>
              <w:rPr>
                <w:rFonts w:hint="eastAsia" w:hAnsi="等线"/>
                <w:color w:val="000000"/>
                <w:sz w:val="18"/>
                <w:szCs w:val="18"/>
              </w:rPr>
              <w:t>细胞周期蛋白依赖性激酶4（CDK4）是由CDK4基因编码的丝氨酸/苏氨酸激酶，在所有细胞类型中广泛表达。该激酶对于细胞周期G1至S期的过渡很重要。有丝分裂原可刺激细胞合成细胞周期蛋白D，细胞周期蛋白D激活CDK4，并和CDK4/6形成复合物(</w:t>
            </w:r>
            <w:r>
              <w:rPr>
                <w:rFonts w:hAnsi="等线"/>
                <w:color w:val="000000"/>
                <w:sz w:val="18"/>
                <w:szCs w:val="18"/>
              </w:rPr>
              <w:t>PMID: 16603719</w:t>
            </w:r>
            <w:r>
              <w:rPr>
                <w:rFonts w:hint="eastAsia" w:hAnsi="等线"/>
                <w:color w:val="000000"/>
                <w:sz w:val="18"/>
                <w:szCs w:val="18"/>
              </w:rPr>
              <w:t xml:space="preserve">; </w:t>
            </w:r>
            <w:r>
              <w:rPr>
                <w:rFonts w:hAnsi="等线"/>
                <w:color w:val="000000"/>
                <w:sz w:val="18"/>
                <w:szCs w:val="18"/>
              </w:rPr>
              <w:t>PMID: 7954824</w:t>
            </w:r>
            <w:r>
              <w:rPr>
                <w:rFonts w:hint="eastAsia" w:hAnsi="等线"/>
                <w:color w:val="000000"/>
                <w:sz w:val="18"/>
                <w:szCs w:val="18"/>
              </w:rPr>
              <w:t xml:space="preserve">; </w:t>
            </w:r>
            <w:r>
              <w:rPr>
                <w:rFonts w:hAnsi="等线"/>
                <w:color w:val="000000"/>
                <w:sz w:val="18"/>
                <w:szCs w:val="18"/>
              </w:rPr>
              <w:t>PMID: 1423597</w:t>
            </w:r>
            <w:r>
              <w:rPr>
                <w:rFonts w:hint="eastAsia" w:hAnsi="等线"/>
                <w:color w:val="000000"/>
                <w:sz w:val="18"/>
                <w:szCs w:val="18"/>
              </w:rPr>
              <w:t>)。CDK4/6二聚体的激活使视网膜母细胞瘤肿瘤抑制蛋白（Rb）磷酸化并失活，进而导致E2F转录因子家族的转录激活。这些因素诱导细胞分裂介质的表达，导致细胞持续分裂，促进肿瘤生长。CDK4/6通过与p16INK4a相互作用（由细胞周期蛋白依赖性激酶抑制剂2A基因，即CDKN2A编码）而受到负调控并失活。</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CDK12</w:t>
            </w:r>
          </w:p>
        </w:tc>
        <w:tc>
          <w:tcPr>
            <w:tcW w:w="4182" w:type="pct"/>
            <w:vAlign w:val="center"/>
          </w:tcPr>
          <w:p>
            <w:pPr>
              <w:rPr>
                <w:rFonts w:hAnsi="等线"/>
                <w:color w:val="000000"/>
                <w:sz w:val="18"/>
                <w:szCs w:val="18"/>
              </w:rPr>
            </w:pPr>
            <w:r>
              <w:rPr>
                <w:rFonts w:hint="eastAsia" w:hAnsi="等线"/>
                <w:color w:val="000000"/>
                <w:sz w:val="18"/>
                <w:szCs w:val="18"/>
              </w:rPr>
              <w:t>CDK12（周期蛋白依赖性激酶12）是一种参与调节细胞周期和许多DNA损伤修复基因转录延伸过程的激酶（PMID: 22012619）。转移性前列腺癌和浆液性卵巢癌中已观察到CDK12的复发性失活突变（PMID: 28843286, PMID: 26787835）。体外实验中CDK12与RNA聚合酶II（RNAP）的C末端结构域（CTD）相互作用并使其磷酸化（PMID: 11683387）并与Cyclin K形成复合物，该复合物可通过调控DNA损伤修复基因（如BRCA1，ATR，FANCI和FANCD2）的表达来维持基因组稳定性。CDK12/cyclin K复合物的缺失会使HEK293细胞对各种DNA损伤剂（包括喜树碱，依托泊苷和丝裂霉素C）敏感（PMID: 24662513）。</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CHEK1</w:t>
            </w:r>
          </w:p>
        </w:tc>
        <w:tc>
          <w:tcPr>
            <w:tcW w:w="4182" w:type="pct"/>
            <w:vAlign w:val="center"/>
          </w:tcPr>
          <w:p>
            <w:pPr>
              <w:rPr>
                <w:rFonts w:hAnsi="等线"/>
                <w:color w:val="000000"/>
                <w:sz w:val="18"/>
                <w:szCs w:val="18"/>
              </w:rPr>
            </w:pPr>
            <w:r>
              <w:rPr>
                <w:rFonts w:hint="eastAsia" w:hAnsi="等线"/>
                <w:color w:val="000000"/>
                <w:sz w:val="18"/>
                <w:szCs w:val="18"/>
              </w:rPr>
              <w:t>CHEK1（检查点激酶1）是一种丝氨酸/苏氨酸激酶，在DNA损伤修复途径中起着不可或缺的作用，可阻滞受损细胞的细胞周期。CHEK1被ATR和ATM激酶磷酸化激活启动DNA损伤应答（PMID: 12781359）。CHEK1被激活后会充当效应激酶，介导下游信号传导，从而导致多种细胞应答，包括细胞周期检查点激活，细胞周期停滞，DNA修复和/或凋亡以及复制叉的稳定（PMID: 23508805）。特别是，活化的CHEK1将细胞周期蛋白B1-CDK1复合物维持在无活性的细胞质状态，从而阻止G2向M期的过渡以及有丝分裂过程中受损伤的染色单体的分离（PMID: 21532626）。</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CHEK2</w:t>
            </w:r>
          </w:p>
        </w:tc>
        <w:tc>
          <w:tcPr>
            <w:tcW w:w="4182" w:type="pct"/>
            <w:vAlign w:val="center"/>
          </w:tcPr>
          <w:p>
            <w:pPr>
              <w:rPr>
                <w:rFonts w:hAnsi="等线"/>
                <w:color w:val="000000"/>
                <w:sz w:val="18"/>
                <w:szCs w:val="18"/>
              </w:rPr>
            </w:pPr>
            <w:r>
              <w:rPr>
                <w:rFonts w:hint="eastAsia" w:hAnsi="等线"/>
                <w:color w:val="000000"/>
                <w:sz w:val="18"/>
                <w:szCs w:val="18"/>
              </w:rPr>
              <w:t>CHEK2（检查点激酶2）是一种丝氨酸/苏氨酸激酶，在DNA损伤修复途径中起着不可或缺的作用，可阻滞受损细胞的细胞周期。CHEK2被ATR和ATM激酶磷酸化激活启动DNA损伤应答（PMID: 12781359）。CHEK2被激活后会充当效应激酶，介导下游信号传导，从而导致多种细胞应答，包括细胞周期检查点激活，细胞周期停滞，DNA修复和/或凋亡（PMID: 25404613）。CHEK2也在有丝分裂过程中通过维持染色体稳定性发挥重要作用（PMID: 20364141）。</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CSF1R</w:t>
            </w:r>
          </w:p>
        </w:tc>
        <w:tc>
          <w:tcPr>
            <w:tcW w:w="4182" w:type="pct"/>
            <w:vAlign w:val="center"/>
          </w:tcPr>
          <w:p>
            <w:pPr>
              <w:rPr>
                <w:rFonts w:hAnsi="等线"/>
                <w:color w:val="000000"/>
                <w:sz w:val="18"/>
                <w:szCs w:val="18"/>
              </w:rPr>
            </w:pPr>
            <w:r>
              <w:rPr>
                <w:rFonts w:hint="eastAsia" w:hAnsi="等线"/>
                <w:color w:val="000000"/>
                <w:sz w:val="18"/>
                <w:szCs w:val="18"/>
              </w:rPr>
              <w:t>CSF1R是一种膜蛋白，可作为集落刺激因子1（CSF1）的受体，集落刺激因子1调控巨噬细胞的产生、分化和功能。CSF1R介导的信号传导是先天免疫的重要调控者。CSF1R和配体CSF1的共表达可导致肿瘤细胞的致癌活性，而与CSF1R的过度表达或扩增无关，这表明CSF1R是一种致癌基因（PMID：22096574）。然而，CSF1R的功能丧失性突变和剪接体变异也与骨髓恶性肿瘤的易感性相关（PMID：18971950）。</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EGFR</w:t>
            </w:r>
          </w:p>
        </w:tc>
        <w:tc>
          <w:tcPr>
            <w:tcW w:w="4182" w:type="pct"/>
            <w:vAlign w:val="center"/>
          </w:tcPr>
          <w:p>
            <w:pPr>
              <w:rPr>
                <w:rFonts w:hAnsi="等线"/>
                <w:color w:val="000000"/>
                <w:sz w:val="18"/>
                <w:szCs w:val="18"/>
              </w:rPr>
            </w:pPr>
            <w:r>
              <w:rPr>
                <w:rFonts w:hint="eastAsia" w:hAnsi="等线"/>
                <w:color w:val="000000"/>
                <w:sz w:val="18"/>
                <w:szCs w:val="18"/>
              </w:rPr>
              <w:t>表皮生长因子受体（</w:t>
            </w:r>
            <w:r>
              <w:rPr>
                <w:rFonts w:hAnsi="等线"/>
                <w:color w:val="000000"/>
                <w:sz w:val="18"/>
                <w:szCs w:val="18"/>
              </w:rPr>
              <w:t>EGFR，也称为HER1/ERBB1）是I</w:t>
            </w:r>
            <w:r>
              <w:rPr>
                <w:rFonts w:hint="eastAsia" w:hAnsi="等线"/>
                <w:color w:val="000000"/>
                <w:sz w:val="18"/>
                <w:szCs w:val="18"/>
              </w:rPr>
              <w:t>型</w:t>
            </w:r>
            <w:r>
              <w:rPr>
                <w:rFonts w:hAnsi="等线"/>
                <w:color w:val="000000"/>
                <w:sz w:val="18"/>
                <w:szCs w:val="18"/>
              </w:rPr>
              <w:t>受体酪氨酸</w:t>
            </w:r>
            <w:r>
              <w:rPr>
                <w:rFonts w:hint="eastAsia" w:hAnsi="等线"/>
                <w:color w:val="000000"/>
                <w:sz w:val="18"/>
                <w:szCs w:val="18"/>
              </w:rPr>
              <w:t>激酶亚</w:t>
            </w:r>
            <w:r>
              <w:rPr>
                <w:rFonts w:hAnsi="等线"/>
                <w:color w:val="000000"/>
                <w:sz w:val="18"/>
                <w:szCs w:val="18"/>
              </w:rPr>
              <w:t xml:space="preserve">成员，由三部分组成：含有配体结合区的细胞外域、单次跨膜的疏水α螺旋区、含有酪氨酸蛋白激酶（RTK）活性的细胞内结构域。EGFR属于ErbB细胞膜受体家族，该家族还包括：ERBB2 </w:t>
            </w:r>
            <w:r>
              <w:rPr>
                <w:rFonts w:hint="eastAsia" w:hAnsi="等线"/>
                <w:color w:val="000000"/>
                <w:sz w:val="18"/>
                <w:szCs w:val="18"/>
              </w:rPr>
              <w:t>(</w:t>
            </w:r>
            <w:r>
              <w:rPr>
                <w:rFonts w:hAnsi="等线"/>
                <w:color w:val="000000"/>
                <w:sz w:val="18"/>
                <w:szCs w:val="18"/>
              </w:rPr>
              <w:t>HER2/Neu</w:t>
            </w:r>
            <w:r>
              <w:rPr>
                <w:rFonts w:hint="eastAsia" w:hAnsi="等线"/>
                <w:color w:val="000000"/>
                <w:sz w:val="18"/>
                <w:szCs w:val="18"/>
              </w:rPr>
              <w:t>)</w:t>
            </w:r>
            <w:r>
              <w:rPr>
                <w:rFonts w:hAnsi="等线"/>
                <w:color w:val="000000"/>
                <w:sz w:val="18"/>
                <w:szCs w:val="18"/>
              </w:rPr>
              <w:t xml:space="preserve">、ERBB3 </w:t>
            </w:r>
            <w:r>
              <w:rPr>
                <w:rFonts w:hint="eastAsia" w:hAnsi="等线"/>
                <w:color w:val="000000"/>
                <w:sz w:val="18"/>
                <w:szCs w:val="18"/>
              </w:rPr>
              <w:t>(</w:t>
            </w:r>
            <w:r>
              <w:rPr>
                <w:rFonts w:hAnsi="等线"/>
                <w:color w:val="000000"/>
                <w:sz w:val="18"/>
                <w:szCs w:val="18"/>
              </w:rPr>
              <w:t>HER3</w:t>
            </w:r>
            <w:r>
              <w:rPr>
                <w:rFonts w:hint="eastAsia" w:hAnsi="等线"/>
                <w:color w:val="000000"/>
                <w:sz w:val="18"/>
                <w:szCs w:val="18"/>
              </w:rPr>
              <w:t>)</w:t>
            </w:r>
            <w:r>
              <w:rPr>
                <w:rFonts w:hAnsi="等线"/>
                <w:color w:val="000000"/>
                <w:sz w:val="18"/>
                <w:szCs w:val="18"/>
              </w:rPr>
              <w:t xml:space="preserve">以及ERBB4 </w:t>
            </w:r>
            <w:r>
              <w:rPr>
                <w:rFonts w:hint="eastAsia" w:hAnsi="等线"/>
                <w:color w:val="000000"/>
                <w:sz w:val="18"/>
                <w:szCs w:val="18"/>
              </w:rPr>
              <w:t>(</w:t>
            </w:r>
            <w:r>
              <w:rPr>
                <w:rFonts w:hAnsi="等线"/>
                <w:color w:val="000000"/>
                <w:sz w:val="18"/>
                <w:szCs w:val="18"/>
              </w:rPr>
              <w:t>HER4</w:t>
            </w:r>
            <w:r>
              <w:rPr>
                <w:rFonts w:hint="eastAsia" w:hAnsi="等线"/>
                <w:color w:val="000000"/>
                <w:sz w:val="18"/>
                <w:szCs w:val="18"/>
              </w:rPr>
              <w:t>)</w:t>
            </w:r>
            <w:r>
              <w:rPr>
                <w:rFonts w:hAnsi="等线"/>
                <w:color w:val="000000"/>
                <w:sz w:val="18"/>
                <w:szCs w:val="18"/>
              </w:rPr>
              <w:t xml:space="preserve"> </w:t>
            </w:r>
            <w:r>
              <w:rPr>
                <w:rFonts w:hint="eastAsia" w:hAnsi="等线"/>
                <w:color w:val="000000"/>
                <w:sz w:val="18"/>
                <w:szCs w:val="18"/>
              </w:rPr>
              <w:t>(</w:t>
            </w:r>
            <w:r>
              <w:rPr>
                <w:rFonts w:hAnsi="等线"/>
                <w:color w:val="000000"/>
                <w:sz w:val="18"/>
                <w:szCs w:val="18"/>
              </w:rPr>
              <w:t>PMID</w:t>
            </w:r>
            <w:r>
              <w:rPr>
                <w:rFonts w:hint="eastAsia" w:hAnsi="等线"/>
                <w:color w:val="000000"/>
                <w:sz w:val="18"/>
                <w:szCs w:val="18"/>
              </w:rPr>
              <w:t>:</w:t>
            </w:r>
            <w:r>
              <w:rPr>
                <w:rFonts w:hAnsi="等线"/>
                <w:color w:val="000000"/>
                <w:sz w:val="18"/>
                <w:szCs w:val="18"/>
              </w:rPr>
              <w:t xml:space="preserve"> 11252954</w:t>
            </w:r>
            <w:r>
              <w:rPr>
                <w:rFonts w:hint="eastAsia" w:hAnsi="等线"/>
                <w:color w:val="000000"/>
                <w:sz w:val="18"/>
                <w:szCs w:val="18"/>
              </w:rPr>
              <w:t>;</w:t>
            </w:r>
            <w:r>
              <w:rPr>
                <w:rFonts w:hAnsi="等线"/>
                <w:color w:val="000000"/>
                <w:sz w:val="18"/>
                <w:szCs w:val="18"/>
              </w:rPr>
              <w:t xml:space="preserve"> PMID</w:t>
            </w:r>
            <w:r>
              <w:rPr>
                <w:rFonts w:hint="eastAsia" w:hAnsi="等线"/>
                <w:color w:val="000000"/>
                <w:sz w:val="18"/>
                <w:szCs w:val="18"/>
              </w:rPr>
              <w:t>:</w:t>
            </w:r>
            <w:r>
              <w:rPr>
                <w:rFonts w:hAnsi="等线"/>
                <w:color w:val="000000"/>
                <w:sz w:val="18"/>
                <w:szCs w:val="18"/>
              </w:rPr>
              <w:t xml:space="preserve"> 15864276</w:t>
            </w:r>
            <w:r>
              <w:rPr>
                <w:rFonts w:hint="eastAsia" w:hAnsi="等线"/>
                <w:color w:val="000000"/>
                <w:sz w:val="18"/>
                <w:szCs w:val="18"/>
              </w:rPr>
              <w:t>;</w:t>
            </w:r>
            <w:r>
              <w:rPr>
                <w:rFonts w:hAnsi="等线"/>
                <w:color w:val="000000"/>
                <w:sz w:val="18"/>
                <w:szCs w:val="18"/>
              </w:rPr>
              <w:t xml:space="preserve"> PMID</w:t>
            </w:r>
            <w:r>
              <w:rPr>
                <w:rFonts w:hint="eastAsia" w:hAnsi="等线"/>
                <w:color w:val="000000"/>
                <w:sz w:val="18"/>
                <w:szCs w:val="18"/>
              </w:rPr>
              <w:t>:</w:t>
            </w:r>
            <w:r>
              <w:rPr>
                <w:rFonts w:hAnsi="等线"/>
                <w:color w:val="000000"/>
                <w:sz w:val="18"/>
                <w:szCs w:val="18"/>
              </w:rPr>
              <w:t xml:space="preserve"> 20887192</w:t>
            </w:r>
            <w:r>
              <w:rPr>
                <w:rFonts w:hint="eastAsia" w:hAnsi="等线"/>
                <w:color w:val="000000"/>
                <w:sz w:val="18"/>
                <w:szCs w:val="18"/>
              </w:rPr>
              <w:t>)</w:t>
            </w:r>
            <w:r>
              <w:rPr>
                <w:rFonts w:hAnsi="等线"/>
                <w:color w:val="000000"/>
                <w:sz w:val="18"/>
                <w:szCs w:val="18"/>
              </w:rPr>
              <w:t>。至少有6种EGFR配体：EGF、转化生长因子α（TGF-α）、肝素结合性表皮生长因子（HB-EGF）、</w:t>
            </w:r>
            <w:r>
              <w:rPr>
                <w:rFonts w:hint="eastAsia" w:hAnsi="等线"/>
                <w:color w:val="000000"/>
                <w:sz w:val="18"/>
                <w:szCs w:val="18"/>
              </w:rPr>
              <w:t>双调蛋白、β细胞调节素和表皮调节素。胞外配体结合并激活</w:t>
            </w:r>
            <w:r>
              <w:rPr>
                <w:rFonts w:hAnsi="等线"/>
                <w:color w:val="000000"/>
                <w:sz w:val="18"/>
                <w:szCs w:val="18"/>
              </w:rPr>
              <w:t>EGFR后，EGFR能够通过多种信号通路</w:t>
            </w:r>
            <w:r>
              <w:rPr>
                <w:rFonts w:hint="eastAsia" w:hAnsi="等线"/>
                <w:color w:val="000000"/>
                <w:sz w:val="18"/>
                <w:szCs w:val="18"/>
              </w:rPr>
              <w:t>介导</w:t>
            </w:r>
            <w:r>
              <w:rPr>
                <w:rFonts w:hAnsi="等线"/>
                <w:color w:val="000000"/>
                <w:sz w:val="18"/>
                <w:szCs w:val="18"/>
              </w:rPr>
              <w:t>胞内信号传导，这些信号通路包括RAS/RAF/MAPK，PI3K/AKT/mTOR以及STAT（PMID: 19922469）。这些信号通路的激活能够促进细胞的增殖、迁移、分化，并能减少细胞死亡（PMID: 15217963; PMID: 15219619）</w:t>
            </w:r>
            <w:r>
              <w:rPr>
                <w:rFonts w:hint="eastAsia" w:hAnsi="等线"/>
                <w:color w:val="000000"/>
                <w:sz w:val="18"/>
                <w:szCs w:val="18"/>
              </w:rPr>
              <w:t>。</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ERBB2</w:t>
            </w:r>
          </w:p>
        </w:tc>
        <w:tc>
          <w:tcPr>
            <w:tcW w:w="4182" w:type="pct"/>
            <w:vAlign w:val="center"/>
          </w:tcPr>
          <w:p>
            <w:pPr>
              <w:rPr>
                <w:rFonts w:hAnsi="等线"/>
                <w:color w:val="000000"/>
                <w:sz w:val="18"/>
                <w:szCs w:val="18"/>
              </w:rPr>
            </w:pPr>
            <w:r>
              <w:rPr>
                <w:rFonts w:hAnsi="等线"/>
                <w:color w:val="000000"/>
                <w:sz w:val="18"/>
                <w:szCs w:val="18"/>
              </w:rPr>
              <w:t>ERBB2（又称HER2）是一种跨膜受体，同时也是受体酪氨酸激酶ERBB家族的成员，该家族还包括EGFR，ERBB3和ERBB4。ERBB2不</w:t>
            </w:r>
            <w:r>
              <w:rPr>
                <w:rFonts w:hint="eastAsia" w:hAnsi="等线"/>
                <w:color w:val="000000"/>
                <w:sz w:val="18"/>
                <w:szCs w:val="18"/>
              </w:rPr>
              <w:t>与</w:t>
            </w:r>
            <w:r>
              <w:rPr>
                <w:rFonts w:hAnsi="等线"/>
                <w:color w:val="000000"/>
                <w:sz w:val="18"/>
                <w:szCs w:val="18"/>
              </w:rPr>
              <w:t>其配体直接结合。相反，它通过结合其他与配体结合的ERBB受体来增强其活性（PMID: 12620236）。ERBB2可以与任何其他的EGFR家族受体形成异源二聚体（PMID: 9130710），从而启动下游多个信号通路的激活，包括MAPK和PI3K/AKT/mTOR信号通路（PMID: 12853564）。ERBB2还可以同源二聚化并启动MAPK</w:t>
            </w:r>
            <w:r>
              <w:rPr>
                <w:rFonts w:hint="eastAsia" w:hAnsi="等线"/>
                <w:color w:val="000000"/>
                <w:sz w:val="18"/>
                <w:szCs w:val="18"/>
              </w:rPr>
              <w:t>、</w:t>
            </w:r>
            <w:r>
              <w:rPr>
                <w:rFonts w:hAnsi="等线"/>
                <w:color w:val="000000"/>
                <w:sz w:val="18"/>
                <w:szCs w:val="18"/>
              </w:rPr>
              <w:t>SRC</w:t>
            </w:r>
            <w:r>
              <w:rPr>
                <w:rFonts w:hint="eastAsia" w:hAnsi="等线"/>
                <w:color w:val="000000"/>
                <w:sz w:val="18"/>
                <w:szCs w:val="18"/>
              </w:rPr>
              <w:t>、</w:t>
            </w:r>
            <w:r>
              <w:rPr>
                <w:rFonts w:hAnsi="等线"/>
                <w:color w:val="000000"/>
                <w:sz w:val="18"/>
                <w:szCs w:val="18"/>
              </w:rPr>
              <w:t>PI3K和STAT信号传导（PMID: 22785351）。ERBB2介导的信号通路的激活最终会导致细胞增殖、迁移和分化（PMID: 18045542）</w:t>
            </w:r>
            <w:r>
              <w:rPr>
                <w:rFonts w:hint="eastAsia" w:hAnsi="等线"/>
                <w:color w:val="000000"/>
                <w:sz w:val="18"/>
                <w:szCs w:val="18"/>
              </w:rPr>
              <w:t>。</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FANCL</w:t>
            </w:r>
          </w:p>
        </w:tc>
        <w:tc>
          <w:tcPr>
            <w:tcW w:w="4182" w:type="pct"/>
            <w:vAlign w:val="center"/>
          </w:tcPr>
          <w:p>
            <w:pPr>
              <w:rPr>
                <w:rFonts w:hAnsi="等线"/>
                <w:color w:val="000000"/>
                <w:sz w:val="18"/>
                <w:szCs w:val="18"/>
              </w:rPr>
            </w:pPr>
            <w:r>
              <w:rPr>
                <w:rFonts w:hint="eastAsia" w:hAnsi="等线"/>
                <w:color w:val="000000"/>
                <w:sz w:val="18"/>
                <w:szCs w:val="18"/>
              </w:rPr>
              <w:t>FANCL是一种E3泛素连接酶，属于范可尼贫血（FA）蛋白。这些蛋白通过利用BRCA1/2蛋白作为支架定位至DNA损伤部位，从而协调同源重组修复（HRR）途径，特别是链间DNA交联（PMID: 21605559）。FANCD2的单泛素化激活在这种DNA修复过程中不可或缺（PMID: 17352736）。FANCD2的单泛素化依赖于多种FA核蛋白复合物，包括FANCL、FANCA、FANCB、FANCC、FANCE、FANCF、FANCG和FANCM。FANCL是FANCD2单泛素化并发挥HRR活性所需的泛素连接酶（PMID: 20154706）。</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FGFR1</w:t>
            </w:r>
          </w:p>
        </w:tc>
        <w:tc>
          <w:tcPr>
            <w:tcW w:w="4182" w:type="pct"/>
            <w:vAlign w:val="center"/>
          </w:tcPr>
          <w:p>
            <w:pPr>
              <w:rPr>
                <w:rFonts w:hAnsi="等线"/>
                <w:color w:val="000000"/>
                <w:sz w:val="18"/>
                <w:szCs w:val="18"/>
              </w:rPr>
            </w:pPr>
            <w:r>
              <w:rPr>
                <w:rFonts w:hint="eastAsia" w:hAnsi="等线"/>
                <w:color w:val="000000"/>
                <w:sz w:val="18"/>
                <w:szCs w:val="18"/>
              </w:rPr>
              <w:t>FGFR1是一种酪氨酸激酶受体，是成纤维细胞生长因子受体（FGFR）家族的成员。该受体由含有两个或三个类Ig环的胞外结构域、跨膜区以及具有激酶活性的胞浆区结构域组成。FGF配体与FGFR1结合导致下游信号通路（包括PI3K/AKT和MAPK通路）快速二聚化并激活（PMID: 16597617）。FGFR1广泛表达于各个组织，对于多种细胞功能（如胚胎发育、骨骼生成、有丝分裂和分化）是必需的。细胞特异性FGFR1调控取决于组织分布和配体可用性（PMID: 16597617）。</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FGFR2</w:t>
            </w:r>
          </w:p>
        </w:tc>
        <w:tc>
          <w:tcPr>
            <w:tcW w:w="4182" w:type="pct"/>
            <w:vAlign w:val="center"/>
          </w:tcPr>
          <w:p>
            <w:pPr>
              <w:rPr>
                <w:rFonts w:hAnsi="等线"/>
                <w:color w:val="000000"/>
                <w:sz w:val="18"/>
                <w:szCs w:val="18"/>
              </w:rPr>
            </w:pPr>
            <w:r>
              <w:rPr>
                <w:rFonts w:hint="eastAsia" w:hAnsi="等线"/>
                <w:color w:val="000000"/>
                <w:sz w:val="18"/>
                <w:szCs w:val="18"/>
              </w:rPr>
              <w:t>FGFR2是一种酪氨酸激酶受体，是成纤维细胞生长因子受体（FGFR）家族的成员。FGF配体与FGFR2结合导致下游信号通路（包括PI3K/AKT和MAPK通路）快速二聚化并激活（PMID: 28030802）。FGFR2在外胚层衍生组织和内皮组织中表达，FGFR2信号传导有助于多种细胞功能，包括体内稳态、有丝分裂、增殖和分化（PMID: 20094046）。</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FGFR3</w:t>
            </w:r>
          </w:p>
        </w:tc>
        <w:tc>
          <w:tcPr>
            <w:tcW w:w="4182" w:type="pct"/>
            <w:vAlign w:val="center"/>
          </w:tcPr>
          <w:p>
            <w:pPr>
              <w:rPr>
                <w:rFonts w:hAnsi="等线"/>
                <w:color w:val="000000"/>
                <w:sz w:val="18"/>
                <w:szCs w:val="18"/>
              </w:rPr>
            </w:pPr>
            <w:r>
              <w:rPr>
                <w:rFonts w:hint="eastAsia" w:hAnsi="等线"/>
                <w:color w:val="000000"/>
                <w:sz w:val="18"/>
                <w:szCs w:val="18"/>
              </w:rPr>
              <w:t>FGFR3是一种酪氨酸激酶受体，是成纤维细胞生长因子受体（FGFR）家族的成员。FGF配体与FGFR3结合导致下游信号通路（包括PI3K/AKT和MAPK通路）快速二聚化并激活（PMID: 28030802）。FGFR3在神经元和感觉细胞中高表达，并且FGFR3信号传导促进多种细胞功能，包括增殖、分化、细胞迁移和凋亡（PMID: 20094046）。FGFR3基因的可变剪接可产生两种同工型蛋白，即FGFR3b和FGFR3c，它们具有独特的组织表达模式和特异性配体结合（PMID: 7512569）。</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FLT3</w:t>
            </w:r>
          </w:p>
        </w:tc>
        <w:tc>
          <w:tcPr>
            <w:tcW w:w="4182" w:type="pct"/>
            <w:vAlign w:val="center"/>
          </w:tcPr>
          <w:p>
            <w:pPr>
              <w:rPr>
                <w:rFonts w:hAnsi="等线"/>
                <w:color w:val="000000"/>
                <w:sz w:val="18"/>
                <w:szCs w:val="18"/>
              </w:rPr>
            </w:pPr>
            <w:r>
              <w:rPr>
                <w:rFonts w:hint="eastAsia" w:hAnsi="等线"/>
                <w:color w:val="000000"/>
                <w:sz w:val="18"/>
                <w:szCs w:val="18"/>
              </w:rPr>
              <w:t>FLT3是一种跨膜受体酪氨酸激酶，其主要作用为参与调控造血功能（PMID:12032772）。FLT3与其配体FLT3L结合后发生二聚化和自磷酸化而被激活。激活的FLT3通过多种途径激活下游信号传导，包括MAPK、PI3K/AKT和STAT3/5途径，这些途径在造血细胞增殖、分化和存活中发挥关键作用（PMID: 12951584）。野生型FLT3对于造血干细胞的生长和分化非常重要，并且通常在未成熟的骨髓和淋巴样细胞中表达（PMID: 12951584）。</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KRAS</w:t>
            </w:r>
          </w:p>
        </w:tc>
        <w:tc>
          <w:tcPr>
            <w:tcW w:w="4182" w:type="pct"/>
            <w:vAlign w:val="center"/>
          </w:tcPr>
          <w:p>
            <w:pPr>
              <w:rPr>
                <w:rFonts w:hAnsi="等线"/>
                <w:color w:val="000000"/>
                <w:sz w:val="18"/>
                <w:szCs w:val="18"/>
              </w:rPr>
            </w:pPr>
            <w:r>
              <w:rPr>
                <w:rFonts w:hAnsi="等线"/>
                <w:color w:val="000000"/>
                <w:sz w:val="18"/>
                <w:szCs w:val="18"/>
              </w:rPr>
              <w:t>KRAS是小型GTP酶RAS家族的成员，该家族催化GTP水解为GDP。在生理条件下，这些RAS蛋白在活性（GTP结合）和非活性（GDP结合）状态间循环，以激活受体酪氨酸激酶（RTK）下游的MAPK和PI3K致癌途径信号传导（PMID: 22189424）。RAS酶的功能受</w:t>
            </w:r>
            <w:r>
              <w:rPr>
                <w:rFonts w:hint="eastAsia" w:hAnsi="等线"/>
                <w:color w:val="000000"/>
                <w:sz w:val="18"/>
                <w:szCs w:val="18"/>
              </w:rPr>
              <w:t>到</w:t>
            </w:r>
            <w:r>
              <w:rPr>
                <w:rFonts w:hAnsi="等线"/>
                <w:color w:val="000000"/>
                <w:sz w:val="18"/>
                <w:szCs w:val="18"/>
              </w:rPr>
              <w:t>鸟嘌呤核苷酸交换因子（GEF）如SOS的调节，这些因子可以使GDP与GTP交换，也可以通过GTP酶活化蛋白如NF1调节，提高RAS水解GTP的能力。一旦被激活，RAS可通过激活不同的细胞内信号传导途径（包括RAF/MEK/ERK和PI3K/AKT/mTOR途径）介导细胞增殖和其他细胞功能的调节</w:t>
            </w:r>
            <w:r>
              <w:rPr>
                <w:rFonts w:hint="eastAsia" w:hAnsi="等线"/>
                <w:color w:val="000000"/>
                <w:sz w:val="18"/>
                <w:szCs w:val="18"/>
              </w:rPr>
              <w:t>。</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NRAS</w:t>
            </w:r>
          </w:p>
        </w:tc>
        <w:tc>
          <w:tcPr>
            <w:tcW w:w="4182" w:type="pct"/>
            <w:vAlign w:val="center"/>
          </w:tcPr>
          <w:p>
            <w:pPr>
              <w:rPr>
                <w:rFonts w:hAnsi="等线"/>
                <w:color w:val="000000"/>
                <w:sz w:val="18"/>
                <w:szCs w:val="18"/>
              </w:rPr>
            </w:pPr>
            <w:r>
              <w:rPr>
                <w:rFonts w:hint="eastAsia" w:hAnsi="等线"/>
                <w:color w:val="000000"/>
                <w:sz w:val="18"/>
                <w:szCs w:val="18"/>
              </w:rPr>
              <w:t>NRAS是小型GTP酶RAS家族的成员，该家族催化GTP水解为GDP。在生理条件下，这些RAS蛋白在活性（GTP结合）和非活性（GDP结合）状态间循环，以激活受体酪氨酸激酶（RTK）下游的MAPK和PI3K致癌途径信号传导（PMID: 22189424）。RAS酶的功能受到鸟嘌呤核苷酸交换因子（GEF）如SOS的调节，这些因子可以使GDP与GTP交换，也可以通过GTP酶活化蛋白如NF1调节，提高RAS水解GTP的能力。一旦被激活，RAS可通过激活不同的细胞内信号传导途径（包括RAF/MEK/ERK和PI3K/AKT/mTOR途径）介导细胞增殖和其他细胞功能的调节。</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IDH1</w:t>
            </w:r>
          </w:p>
        </w:tc>
        <w:tc>
          <w:tcPr>
            <w:tcW w:w="4182" w:type="pct"/>
            <w:vAlign w:val="center"/>
          </w:tcPr>
          <w:p>
            <w:pPr>
              <w:rPr>
                <w:rFonts w:hAnsi="等线"/>
                <w:color w:val="000000"/>
                <w:sz w:val="18"/>
                <w:szCs w:val="18"/>
              </w:rPr>
            </w:pPr>
            <w:r>
              <w:rPr>
                <w:rFonts w:hint="eastAsia" w:hAnsi="等线"/>
                <w:color w:val="000000"/>
                <w:sz w:val="18"/>
                <w:szCs w:val="18"/>
              </w:rPr>
              <w:t>IDH1（异柠檬酸脱氢酶1）是三羧酸循环中的一种关键酶，催化异柠檬酸氧化脱羧生成α-酮戊二酸(α-KG)。IDH1主要在细胞质和过氧化物酶体中表达，利用NADP(+)作为电子受体，在细胞质NADPH的生成中发挥作用。IDH1催化位点的突变导致酶活性增强，可将α-KG转化为“致癌代谢物”D-2-羟基谷氨酸(2-HG)</w:t>
            </w:r>
            <w:r>
              <w:rPr>
                <w:rFonts w:hAnsi="等线"/>
                <w:color w:val="000000"/>
                <w:sz w:val="18"/>
                <w:szCs w:val="18"/>
              </w:rPr>
              <w:t xml:space="preserve"> </w:t>
            </w:r>
            <w:r>
              <w:rPr>
                <w:rFonts w:hint="eastAsia" w:hAnsi="等线"/>
                <w:color w:val="000000"/>
                <w:sz w:val="18"/>
                <w:szCs w:val="18"/>
              </w:rPr>
              <w:t>(PMID: 20171147)。2-HG通过抑制多种以α-KG为底物的酶的活性来促进肿瘤的发展，其中一些酶参与调控DNA去甲基化、组蛋白去甲基化、缺氧适应和胶原纤维成熟。</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KIT</w:t>
            </w:r>
          </w:p>
        </w:tc>
        <w:tc>
          <w:tcPr>
            <w:tcW w:w="4182" w:type="pct"/>
            <w:vAlign w:val="center"/>
          </w:tcPr>
          <w:p>
            <w:pPr>
              <w:rPr>
                <w:rFonts w:hAnsi="等线"/>
                <w:color w:val="000000"/>
                <w:sz w:val="18"/>
                <w:szCs w:val="18"/>
              </w:rPr>
            </w:pPr>
            <w:r>
              <w:rPr>
                <w:rFonts w:hint="eastAsia" w:hAnsi="等线"/>
                <w:color w:val="000000"/>
                <w:sz w:val="18"/>
                <w:szCs w:val="18"/>
              </w:rPr>
              <w:t>原癌基因KIT编码3型跨膜受体酪氨酸激酶。该受体与其配体干细胞因子[SCF，也称为肥大细胞生长因子</w:t>
            </w:r>
            <w:r>
              <w:rPr>
                <w:rFonts w:hAnsi="等线"/>
                <w:color w:val="000000"/>
                <w:sz w:val="18"/>
                <w:szCs w:val="18"/>
              </w:rPr>
              <w:t>(</w:t>
            </w:r>
            <w:r>
              <w:rPr>
                <w:rFonts w:hint="eastAsia" w:hAnsi="等线"/>
                <w:color w:val="000000"/>
                <w:sz w:val="18"/>
                <w:szCs w:val="18"/>
              </w:rPr>
              <w:t>MGF</w:t>
            </w:r>
            <w:r>
              <w:rPr>
                <w:rFonts w:hAnsi="等线"/>
                <w:color w:val="000000"/>
                <w:sz w:val="18"/>
                <w:szCs w:val="18"/>
              </w:rPr>
              <w:t>)</w:t>
            </w:r>
            <w:r>
              <w:rPr>
                <w:rFonts w:hint="eastAsia" w:hAnsi="等线"/>
                <w:color w:val="000000"/>
                <w:sz w:val="18"/>
                <w:szCs w:val="18"/>
              </w:rPr>
              <w:t>]</w:t>
            </w:r>
            <w:r>
              <w:rPr>
                <w:rFonts w:hAnsi="等线"/>
                <w:color w:val="000000"/>
                <w:sz w:val="18"/>
                <w:szCs w:val="18"/>
              </w:rPr>
              <w:t xml:space="preserve"> </w:t>
            </w:r>
            <w:r>
              <w:rPr>
                <w:rFonts w:hint="eastAsia" w:hAnsi="等线"/>
                <w:color w:val="000000"/>
                <w:sz w:val="18"/>
                <w:szCs w:val="18"/>
              </w:rPr>
              <w:t>结合后可通过二聚化和自磷酸化被激活（PMID: 9438854）。KIT激活后通过多种途径增加胞内信号传导，包括PI3K、MAPK和STAT途径，最终导致细胞增殖和存活（PMID: 22089421）。对于野生型胃肠道间质瘤（GIST；无KIT或PDGFRA突变）患者，NCCN指南推荐检测胚系琥珀酸脱氢酶（SDH）突变。约有10-15% GIST患者是野生型；因此，突变不存在并不能排除对GIST的诊断。在没有KIT突变的患者中，部分晚期GIST患者可从伊马替尼治疗中受益（0-45%的患者）（NCCN软组织肉瘤v.2.2017）。</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MAP2K1</w:t>
            </w:r>
          </w:p>
        </w:tc>
        <w:tc>
          <w:tcPr>
            <w:tcW w:w="4182" w:type="pct"/>
            <w:vAlign w:val="center"/>
          </w:tcPr>
          <w:p>
            <w:pPr>
              <w:rPr>
                <w:rFonts w:hAnsi="等线"/>
                <w:color w:val="000000"/>
                <w:sz w:val="18"/>
                <w:szCs w:val="18"/>
              </w:rPr>
            </w:pPr>
            <w:r>
              <w:rPr>
                <w:rFonts w:hint="eastAsia" w:hAnsi="等线"/>
                <w:color w:val="000000"/>
                <w:sz w:val="18"/>
                <w:szCs w:val="18"/>
              </w:rPr>
              <w:t>MAP2K1（又称MEK1）是一种丝氨酸/苏氨酸蛋白激酶，在丝裂原激活蛋白激酶（MAPK）信号级联反应中作为效应蛋白发挥作用（PMID: 17496922）。MAPK信号通路参与多种细胞进程的调控，包括细胞增殖、分化、细胞粘附和转录（PMID: 17496922）。MAPK信号转导是以三级激酶级联的方式进行的，MEK1活性依赖于上游RAF激酶的磷酸化。活化的MEK1会依次磷酸化ERK1/2（细胞外信号调节激酶1/2），后者可调控某些转录因子的活性（PMID: 22177953）。这些由生长因子、细胞因子和激素激活上游受体酪氨酸激酶进而触发的信号转导事件最终会导致调控细胞生长、分化、增殖和存活的关键调节因子的表达发生改变（PMID: 11242034）。MEK1信号通路的异常调节通常与RAS和RAF基因突变有关（PMID: 12509763）。MAPK信号通路的过度激活在人类癌症中十分常见，如黑色素瘤、结直肠癌和肺癌等。</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MET</w:t>
            </w:r>
          </w:p>
        </w:tc>
        <w:tc>
          <w:tcPr>
            <w:tcW w:w="4182" w:type="pct"/>
            <w:vAlign w:val="center"/>
          </w:tcPr>
          <w:p>
            <w:pPr>
              <w:rPr>
                <w:rFonts w:hAnsi="等线"/>
                <w:color w:val="000000"/>
                <w:sz w:val="18"/>
                <w:szCs w:val="18"/>
              </w:rPr>
            </w:pPr>
            <w:r>
              <w:rPr>
                <w:rFonts w:hint="eastAsia" w:hAnsi="等线"/>
                <w:color w:val="000000"/>
                <w:sz w:val="18"/>
                <w:szCs w:val="18"/>
              </w:rPr>
              <w:t>MET由原癌基因c-MET编码，具有酪氨酸激酶活性，是肝细胞生长因子（HGF）的受体。c-MET主要在上皮细胞中表达。HGF由周围的间充质细胞表达和释放，在正常生理条件下，HGF与c-MET结合会刺激c-MET二聚化和自磷酸化，从而激活多种信号通路，包括RAS/RAF/MAPK，PI3K/AKT/MTOR，SRC/FAK和JUN，进而调控细胞周期进程、细胞增殖、细胞运动和迁移以及细胞存活（</w:t>
            </w:r>
            <w:r>
              <w:rPr>
                <w:rFonts w:hAnsi="等线"/>
                <w:color w:val="000000"/>
                <w:sz w:val="18"/>
                <w:szCs w:val="18"/>
              </w:rPr>
              <w:t>PMID: 22128285</w:t>
            </w:r>
            <w:r>
              <w:rPr>
                <w:rFonts w:hint="eastAsia" w:hAnsi="等线"/>
                <w:color w:val="000000"/>
                <w:sz w:val="18"/>
                <w:szCs w:val="18"/>
              </w:rPr>
              <w:t>）。正常情况下，c-MET信号传导对于胚胎发育和组织修复至关重要（</w:t>
            </w:r>
            <w:r>
              <w:rPr>
                <w:rFonts w:hAnsi="等线"/>
                <w:color w:val="000000"/>
                <w:sz w:val="18"/>
                <w:szCs w:val="18"/>
              </w:rPr>
              <w:t>PMID: 7651534</w:t>
            </w:r>
            <w:r>
              <w:rPr>
                <w:rFonts w:hint="eastAsia" w:hAnsi="等线"/>
                <w:color w:val="000000"/>
                <w:sz w:val="18"/>
                <w:szCs w:val="18"/>
              </w:rPr>
              <w:t>;</w:t>
            </w:r>
            <w:r>
              <w:rPr>
                <w:rFonts w:hAnsi="等线"/>
                <w:color w:val="000000"/>
                <w:sz w:val="18"/>
                <w:szCs w:val="18"/>
              </w:rPr>
              <w:t xml:space="preserve"> PMID: 15070743</w:t>
            </w:r>
            <w:r>
              <w:rPr>
                <w:rFonts w:hint="eastAsia" w:hAnsi="等线"/>
                <w:color w:val="000000"/>
                <w:sz w:val="18"/>
                <w:szCs w:val="18"/>
              </w:rPr>
              <w:t>）。肿瘤中MET的突变、扩增或过度表达使得c-MET组成性激活，从而促进肿瘤细胞不受控制的增殖和转移。</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NF1</w:t>
            </w:r>
          </w:p>
        </w:tc>
        <w:tc>
          <w:tcPr>
            <w:tcW w:w="4182" w:type="pct"/>
            <w:vAlign w:val="center"/>
          </w:tcPr>
          <w:p>
            <w:pPr>
              <w:rPr>
                <w:rFonts w:hAnsi="等线"/>
                <w:color w:val="000000"/>
                <w:sz w:val="18"/>
                <w:szCs w:val="18"/>
              </w:rPr>
            </w:pPr>
            <w:r>
              <w:rPr>
                <w:rFonts w:hint="eastAsia" w:hAnsi="等线"/>
                <w:color w:val="000000"/>
                <w:sz w:val="18"/>
                <w:szCs w:val="18"/>
              </w:rPr>
              <w:t>NF1基因编码一种GTP酶激活蛋白（GAP），用于小GTP酶HRAS、KRAS和NRAS的激活（PMID: 1946382）。NF1蛋白与RAS结合时可稳定RAS蛋白的GTP酶活性，将RAS从与GTP结合的激活状态转换成与GDP结合的失活状态（PMID: 9302992）。GAP相关结构域（GRD）是NF1的催化结构域，它仅占N</w:t>
            </w:r>
            <w:r>
              <w:rPr>
                <w:rFonts w:hAnsi="等线"/>
                <w:color w:val="000000"/>
                <w:sz w:val="18"/>
                <w:szCs w:val="18"/>
              </w:rPr>
              <w:t>F1</w:t>
            </w:r>
            <w:r>
              <w:rPr>
                <w:rFonts w:hint="eastAsia" w:hAnsi="等线"/>
                <w:color w:val="000000"/>
                <w:sz w:val="18"/>
                <w:szCs w:val="18"/>
              </w:rPr>
              <w:t>蛋白约10%，但直接负责其GAP活性。</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NTRK1</w:t>
            </w:r>
          </w:p>
        </w:tc>
        <w:tc>
          <w:tcPr>
            <w:tcW w:w="4182" w:type="pct"/>
            <w:vAlign w:val="center"/>
          </w:tcPr>
          <w:p>
            <w:pPr>
              <w:rPr>
                <w:rFonts w:hAnsi="等线"/>
                <w:color w:val="000000"/>
                <w:sz w:val="18"/>
                <w:szCs w:val="18"/>
              </w:rPr>
            </w:pPr>
            <w:r>
              <w:rPr>
                <w:rFonts w:hint="eastAsia" w:hAnsi="等线"/>
                <w:color w:val="000000"/>
                <w:sz w:val="18"/>
                <w:szCs w:val="18"/>
              </w:rPr>
              <w:t>NTRK1（神经营养受体酪氨酸激酶1）蛋白是一种跨膜神经营养受体，存在于神经细胞上，并通过与其主要配体神经生长因子（NGF）的结合而被激活。NTRK1由胞外的配体结合结构域、跨膜结构域以及含酪氨酸激酶结构域的胞内区组成。NTRK1的致癌性激活可导致自磷酸化和MAP激酶、PI3-激酶和PLC-γ信号途径的激活，介导细胞增殖、存活和分化（PMID: 12652644）。NTRK1突变和融合存在于多种癌症中。NTRK1变异细胞的治疗策略包括广泛性的受体酪氨酸激酶抑制剂和特异性的NTRK激酶抑制剂。</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NTRK2</w:t>
            </w:r>
          </w:p>
        </w:tc>
        <w:tc>
          <w:tcPr>
            <w:tcW w:w="4182" w:type="pct"/>
            <w:vAlign w:val="center"/>
          </w:tcPr>
          <w:p>
            <w:pPr>
              <w:rPr>
                <w:rFonts w:hAnsi="等线"/>
                <w:color w:val="000000"/>
                <w:sz w:val="18"/>
                <w:szCs w:val="18"/>
              </w:rPr>
            </w:pPr>
            <w:r>
              <w:rPr>
                <w:rFonts w:hint="eastAsia" w:hAnsi="等线"/>
                <w:color w:val="000000"/>
                <w:sz w:val="18"/>
                <w:szCs w:val="18"/>
              </w:rPr>
              <w:t>NTRK2基因（神经营养受体酪氨酸激酶2）编码跨膜神经营养受体，参与的信号转导对于神经系统的正常发育至关重要（PMID: 8145823）。NTRK2由胞外的配体结合结构域、跨膜结构域以及含酪氨酸激酶结构域的胞内区组成。神经细胞上的NTRK2的配体包括神经生长因子（NGF）、脑源性神经营养因子（BDNF）和神经营养素3（NT-3），通过与这三个配体的其中之一结合，NTRK2正常激活，并导致自磷酸化和下游信号通路的激活，通过MAPK、PI3K和PLC-γ信号途径控制和促进细胞增殖、存活和分化（PMID: 10851172）。</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NTRK3</w:t>
            </w:r>
          </w:p>
        </w:tc>
        <w:tc>
          <w:tcPr>
            <w:tcW w:w="4182" w:type="pct"/>
            <w:vAlign w:val="center"/>
          </w:tcPr>
          <w:p>
            <w:pPr>
              <w:rPr>
                <w:rFonts w:hAnsi="等线"/>
                <w:color w:val="000000"/>
                <w:sz w:val="18"/>
                <w:szCs w:val="18"/>
              </w:rPr>
            </w:pPr>
            <w:r>
              <w:rPr>
                <w:rFonts w:hint="eastAsia" w:hAnsi="等线"/>
                <w:color w:val="000000"/>
                <w:sz w:val="18"/>
                <w:szCs w:val="18"/>
              </w:rPr>
              <w:t>NTRK3（神经营养性受体酪氨酸激酶3）基因编码跨膜神经营养性受体，通常与其主要配体神经营养素3（NT-3）结合后在神经细胞上被激活。NTRK3由胞外的配体结合结构域、跨膜结构域以及含酪氨酸激酶结构域的胞内区组成。激活的NTRK3会依次导致自磷酸化和下游信号通路的激活，并通过MAPK、PI3K和PLC-γ信号途径控制和促进细胞增殖、存活和分化（PMID: 10851172）。</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PALB2</w:t>
            </w:r>
          </w:p>
        </w:tc>
        <w:tc>
          <w:tcPr>
            <w:tcW w:w="4182" w:type="pct"/>
            <w:vAlign w:val="center"/>
          </w:tcPr>
          <w:p>
            <w:pPr>
              <w:rPr>
                <w:rFonts w:hAnsi="等线"/>
                <w:color w:val="000000"/>
                <w:sz w:val="18"/>
                <w:szCs w:val="18"/>
              </w:rPr>
            </w:pPr>
            <w:r>
              <w:rPr>
                <w:rFonts w:hint="eastAsia" w:hAnsi="等线"/>
                <w:color w:val="000000"/>
                <w:sz w:val="18"/>
                <w:szCs w:val="18"/>
              </w:rPr>
              <w:t>PALB2（BRCA2的伴侣和定位子，又称FANCN）编码DNA修复因子和BRCA2结合蛋白（PMID: 16793542）。PALB2在同源重组（HR）途径中充当支架蛋白用于修复双链DNA断裂，可能介导损伤位点上BRCA2和RAD51的募集（PMID: 19423707）。PALB2还与BRCA1相互作用，可能在HR通路中充当BRCA1和BRCA2之间的中介因子（PMID: 19584259）。临床前数据表明，BRCA1和BRCA2的突变可消除与PALB2的相互作用并破坏HR介导的DNA修复（PMID: 16793542）。PALB2的胚系双等位基因突变与遗传性疾病范可尼贫血有关，后者易罹患多种癌症（PMID: 17200672）。</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PDGFRA</w:t>
            </w:r>
          </w:p>
        </w:tc>
        <w:tc>
          <w:tcPr>
            <w:tcW w:w="4182" w:type="pct"/>
            <w:vAlign w:val="center"/>
          </w:tcPr>
          <w:p>
            <w:pPr>
              <w:rPr>
                <w:rFonts w:hAnsi="等线"/>
                <w:color w:val="000000"/>
                <w:sz w:val="18"/>
                <w:szCs w:val="18"/>
              </w:rPr>
            </w:pPr>
            <w:r>
              <w:rPr>
                <w:rFonts w:hint="eastAsia" w:hAnsi="等线"/>
                <w:color w:val="000000"/>
                <w:sz w:val="18"/>
                <w:szCs w:val="18"/>
              </w:rPr>
              <w:t>PDGFRA基因编码的蛋白产物是血小板源性生长因子（PDGFRA）。配体与包含免疫球蛋白（Ig）样结构域的PDGFRA胞外结构域结合后会引起二聚化和受体的自磷酸化，进而激活下游信号通路（如RAS-MAPK、PI3K和PLC-γ），这些通路参与调控发育和细胞应答。PDGFRA的催化活性是通过脱离的胞内酪氨酸激酶结构域介导的。PDGFRA可结合除PDGF-DD以外的所有PDGF同工型配体（PMID: 24703957）。</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PIK3CA</w:t>
            </w:r>
          </w:p>
        </w:tc>
        <w:tc>
          <w:tcPr>
            <w:tcW w:w="4182" w:type="pct"/>
            <w:vAlign w:val="center"/>
          </w:tcPr>
          <w:p>
            <w:pPr>
              <w:rPr>
                <w:rFonts w:hAnsi="等线"/>
                <w:color w:val="000000"/>
                <w:sz w:val="18"/>
                <w:szCs w:val="18"/>
              </w:rPr>
            </w:pPr>
            <w:r>
              <w:rPr>
                <w:rFonts w:hint="eastAsia" w:hAnsi="等线"/>
                <w:color w:val="000000"/>
                <w:sz w:val="18"/>
                <w:szCs w:val="18"/>
              </w:rPr>
              <w:t>PIK3CA基因编码磷脂酰肌醇3-激酶（PI3K）的p110α催化亚基，PI3K是由受体酪氨酸激酶 [例如表皮生长因子受体(EGFR)和人表皮生长受体2</w:t>
            </w:r>
            <w:r>
              <w:rPr>
                <w:rFonts w:hAnsi="等线"/>
                <w:color w:val="000000"/>
                <w:sz w:val="18"/>
                <w:szCs w:val="18"/>
              </w:rPr>
              <w:t xml:space="preserve"> </w:t>
            </w:r>
            <w:r>
              <w:rPr>
                <w:rFonts w:hint="eastAsia" w:hAnsi="等线"/>
                <w:color w:val="000000"/>
                <w:sz w:val="18"/>
                <w:szCs w:val="18"/>
              </w:rPr>
              <w:t>(HER2/ERBB2)]</w:t>
            </w:r>
            <w:r>
              <w:rPr>
                <w:rFonts w:hAnsi="等线"/>
                <w:color w:val="000000"/>
                <w:sz w:val="18"/>
                <w:szCs w:val="18"/>
              </w:rPr>
              <w:t xml:space="preserve"> </w:t>
            </w:r>
            <w:r>
              <w:rPr>
                <w:rFonts w:hint="eastAsia" w:hAnsi="等线"/>
                <w:color w:val="000000"/>
                <w:sz w:val="18"/>
                <w:szCs w:val="18"/>
              </w:rPr>
              <w:t>驱动的信号转导通路中的整合信号分子。PI3K的活性形式由调节性p85亚单位和催化性p110亚单位组成。激活的PI3K将PIP2转化为PIP3，引发AKT（蛋白激酶B）的磷酸化和雷帕霉素（mTOR）激酶的激活。PI3K/AKT/mTOR信号通路通过调节各种细胞功能（包括细胞增殖、存活、代谢和细胞骨架重组）来促进肿瘤发生（</w:t>
            </w:r>
            <w:r>
              <w:rPr>
                <w:rFonts w:hAnsi="等线"/>
                <w:color w:val="000000"/>
                <w:sz w:val="18"/>
                <w:szCs w:val="18"/>
              </w:rPr>
              <w:t>PMID: 16453012</w:t>
            </w:r>
            <w:r>
              <w:rPr>
                <w:rFonts w:hint="eastAsia" w:hAnsi="等线"/>
                <w:color w:val="000000"/>
                <w:sz w:val="18"/>
                <w:szCs w:val="18"/>
              </w:rPr>
              <w:t>）。</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RAD51B</w:t>
            </w:r>
          </w:p>
        </w:tc>
        <w:tc>
          <w:tcPr>
            <w:tcW w:w="4182" w:type="pct"/>
            <w:vAlign w:val="center"/>
          </w:tcPr>
          <w:p>
            <w:pPr>
              <w:rPr>
                <w:rFonts w:hAnsi="等线"/>
                <w:color w:val="000000"/>
                <w:sz w:val="18"/>
                <w:szCs w:val="18"/>
              </w:rPr>
            </w:pPr>
            <w:r>
              <w:rPr>
                <w:rFonts w:hint="eastAsia" w:hAnsi="等线"/>
                <w:color w:val="000000"/>
                <w:sz w:val="18"/>
                <w:szCs w:val="18"/>
              </w:rPr>
              <w:t>RAD51B（又称RAD51L1）是RAD51重组酶家族的一员，该家族在同源重组（HR）介导的双链DNA断裂（DSB）修复中发挥作用。RAD51B与同源修复蛋白RAD51相结合，在DSB修复通路的早期阶段发挥作用：切除DSB断裂位点两侧的5'末端DNA链，RAD51聚集在单链突出端，形成核蛋白细丝（PMID: 25833843），然后RAD51促使同源DNA模板的识别配对并启动单链入侵和链置换过程（PMID: 20930833）。电离辐射后RAD51B表达上调（PMID: 9788630），而RAD51B的功能对于形成DNA损伤修复复合物（包括RAD51旁系同源蛋白、XRCC2和XRCC3）是必需的（PMID: 10938124）。除DNA损伤修复途径外，RAD51B还可以通过磷酸化p53，CDK2和cyclinE影响细胞周期的调控，导致G1细胞周期延迟（PMID: 10623463）。</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RAD51C</w:t>
            </w:r>
          </w:p>
        </w:tc>
        <w:tc>
          <w:tcPr>
            <w:tcW w:w="4182" w:type="pct"/>
            <w:vAlign w:val="center"/>
          </w:tcPr>
          <w:p>
            <w:pPr>
              <w:rPr>
                <w:rFonts w:hAnsi="等线"/>
                <w:color w:val="000000"/>
                <w:sz w:val="18"/>
                <w:szCs w:val="18"/>
              </w:rPr>
            </w:pPr>
            <w:r>
              <w:rPr>
                <w:rFonts w:hint="eastAsia" w:hAnsi="等线"/>
                <w:color w:val="000000"/>
                <w:sz w:val="18"/>
                <w:szCs w:val="18"/>
              </w:rPr>
              <w:t>RAD51C在人类癌症中很少发生突变。RAD51C（也称为RAD51L2）是RAD51重组酶家族的成员，该家族在同源重组（HR）介导的双链DNA断裂（DSB）修复中起作用。RAD51C与同源修复蛋白RAD51相结合，在DSB修复通路的早期阶段发挥作用：切除DSB断裂位点两侧的5'末端DNA链，RAD51聚集在单链突出端，形成核蛋白细丝（PMID: 25833843），然后RAD51促使同源DNA模板的识别配对并启动单链入侵和链置换过程（PMID: 20930833）。RAD51C是DSB修复复合物BCDX2（包括RAD51B、RAD51C、RAD51D和XRCC2）和CX3（包括XRCC3）的组成部分，它们分别在D</w:t>
            </w:r>
            <w:r>
              <w:rPr>
                <w:rFonts w:hAnsi="等线"/>
                <w:color w:val="000000"/>
                <w:sz w:val="18"/>
                <w:szCs w:val="18"/>
              </w:rPr>
              <w:t>NA</w:t>
            </w:r>
            <w:r>
              <w:rPr>
                <w:rFonts w:hint="eastAsia" w:hAnsi="等线"/>
                <w:color w:val="000000"/>
                <w:sz w:val="18"/>
                <w:szCs w:val="18"/>
              </w:rPr>
              <w:t>损伤稳定和RAD51细丝装配过程中发挥作用（PMID: 23149936）。</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RAD51D</w:t>
            </w:r>
          </w:p>
        </w:tc>
        <w:tc>
          <w:tcPr>
            <w:tcW w:w="4182" w:type="pct"/>
            <w:vAlign w:val="center"/>
          </w:tcPr>
          <w:p>
            <w:pPr>
              <w:rPr>
                <w:rFonts w:hAnsi="等线"/>
                <w:color w:val="000000"/>
                <w:sz w:val="18"/>
                <w:szCs w:val="18"/>
              </w:rPr>
            </w:pPr>
            <w:r>
              <w:rPr>
                <w:rFonts w:hint="eastAsia" w:hAnsi="等线"/>
                <w:color w:val="000000"/>
                <w:sz w:val="18"/>
                <w:szCs w:val="18"/>
              </w:rPr>
              <w:t>RAD51D（又称RAD51L3）是RAD51重组酶家族的一员，该家族在同源重组（HR）介导的双链DNA断裂（DSB）修复中发挥作用。RAD51D与同源修复蛋白RAD51相结合，在DSB修复通路的早期阶段起作用：切除DSB断裂位点两侧的5'末端DNA链，RAD51聚集在单链突出端，形成核蛋白细丝（PMID: 25833843）。然后RAD51促使同源DNA模板的识别配对并启动单链入侵和链置换过程（PMID: 20930833）。生化研究表明，RAD51D可与其他三个RAD51旁系同源物（XRCC2，RAD51B和RAD51C）形成复合物（称作BCDX2复合物）(PMID: 16236763)。该复合物在HR早期阶段（即</w:t>
            </w:r>
            <w:r>
              <w:rPr>
                <w:rFonts w:hAnsi="等线"/>
                <w:color w:val="000000"/>
                <w:sz w:val="18"/>
                <w:szCs w:val="18"/>
              </w:rPr>
              <w:t>RAD51被招募到</w:t>
            </w:r>
            <w:r>
              <w:rPr>
                <w:rFonts w:hint="eastAsia" w:hAnsi="等线"/>
                <w:color w:val="000000"/>
                <w:sz w:val="18"/>
                <w:szCs w:val="18"/>
              </w:rPr>
              <w:t>损伤DNA位点</w:t>
            </w:r>
            <w:r>
              <w:rPr>
                <w:rFonts w:hAnsi="等线"/>
                <w:color w:val="000000"/>
                <w:sz w:val="18"/>
                <w:szCs w:val="18"/>
              </w:rPr>
              <w:t>之前</w:t>
            </w:r>
            <w:r>
              <w:rPr>
                <w:rFonts w:hint="eastAsia" w:hAnsi="等线"/>
                <w:color w:val="000000"/>
                <w:sz w:val="18"/>
                <w:szCs w:val="18"/>
              </w:rPr>
              <w:t>）发挥作用（PMID: 21821141）。RAD51D还与DNA结合和复制蛋白（包括SFPQ，NONO，MCM2和MSH2）相互作用（PMID: 19658102），并在端粒维持中发挥作用（PMID: 15109494）。RAD51D缺陷型细胞会发生自发性染色体畸变并表现出G2周期阻滞（PMID: 15781618）。</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RAD54L</w:t>
            </w:r>
          </w:p>
        </w:tc>
        <w:tc>
          <w:tcPr>
            <w:tcW w:w="4182" w:type="pct"/>
            <w:vAlign w:val="center"/>
          </w:tcPr>
          <w:p>
            <w:pPr>
              <w:rPr>
                <w:rFonts w:hAnsi="等线"/>
                <w:color w:val="000000"/>
                <w:sz w:val="18"/>
                <w:szCs w:val="18"/>
              </w:rPr>
            </w:pPr>
            <w:r>
              <w:rPr>
                <w:rFonts w:hint="eastAsia" w:hAnsi="等线"/>
                <w:color w:val="000000"/>
                <w:sz w:val="18"/>
                <w:szCs w:val="18"/>
              </w:rPr>
              <w:t>RAD54L是解旋酶SNF2家族的成员，在同源重组和DNA修复过程中作为染色质重塑蛋白参与修复双链断裂（PMID: 19671661）。RAD54L与同源修复蛋白RAD51结合，使DNA拓扑结构发生改变，导致DNA配对和重组（PMID: 12359723）。RAD54L-RAD51相互作用可导致复制因子复合物运动前的超螺旋状态以及DNA修复期间D环的稳定（PMID: 16818238）。在重组修复起始阶段，RAD54L可保持RAD51与单链和双链DNA的稳定结合（PMID: 12566442）。</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RET</w:t>
            </w:r>
          </w:p>
        </w:tc>
        <w:tc>
          <w:tcPr>
            <w:tcW w:w="4182" w:type="pct"/>
            <w:vAlign w:val="center"/>
          </w:tcPr>
          <w:p>
            <w:pPr>
              <w:rPr>
                <w:rFonts w:hAnsi="等线"/>
                <w:color w:val="000000"/>
                <w:sz w:val="18"/>
                <w:szCs w:val="18"/>
              </w:rPr>
            </w:pPr>
            <w:r>
              <w:rPr>
                <w:rFonts w:hint="eastAsia" w:hAnsi="等线"/>
                <w:color w:val="000000"/>
                <w:sz w:val="18"/>
                <w:szCs w:val="18"/>
              </w:rPr>
              <w:t>RET（Rearranged During Transfection）基因编码跨膜受体酪氨酸激酶，优先在神经嵴源性和泌尿生殖细胞上表达（</w:t>
            </w:r>
            <w:r>
              <w:rPr>
                <w:rFonts w:hAnsi="等线"/>
                <w:color w:val="000000"/>
                <w:sz w:val="18"/>
                <w:szCs w:val="18"/>
              </w:rPr>
              <w:t>PMID: 8018563</w:t>
            </w:r>
            <w:r>
              <w:rPr>
                <w:rFonts w:hint="eastAsia" w:hAnsi="等线"/>
                <w:color w:val="000000"/>
                <w:sz w:val="18"/>
                <w:szCs w:val="18"/>
              </w:rPr>
              <w:t>）。RET转录物的选择性剪接可产生三个在C末端分别含51，43和9个氨基酸的亚型，分别被称为RET51，RET43和RET9。RET可以与胶质细胞源性神经营养因子（GDNF）家族（GDNF，NRTN，ARTN和PSPN）相结合；然而，RET不能独立地结合GDNF家族配体（GFLF），它必须与预先绑定到四种GDNF家族受体-a（GFRa）蛋白之一的GFLs结合。该复合物诱导RET的同源二聚化，反式磷酸化和其酪氨酸激酶活性的激活（</w:t>
            </w:r>
            <w:r>
              <w:rPr>
                <w:rFonts w:hAnsi="等线"/>
                <w:color w:val="000000"/>
                <w:sz w:val="18"/>
                <w:szCs w:val="18"/>
              </w:rPr>
              <w:t>PMID: 15982921</w:t>
            </w:r>
            <w:r>
              <w:rPr>
                <w:rFonts w:hint="eastAsia" w:hAnsi="等线"/>
                <w:color w:val="000000"/>
                <w:sz w:val="18"/>
                <w:szCs w:val="18"/>
              </w:rPr>
              <w:t>）。这些磷酸化的残基是多种接头蛋白和效应蛋白的对接位点，可激活Ras/MAPK，PI3K/AKT，JNK，p38和PLCg信号级联反应。RET的致癌性激活突变能以不依赖配体的方式放大这些级联信号，并激活替代信号级联反应，例如STAT3和STAT1，以促进肿瘤发生（</w:t>
            </w:r>
            <w:r>
              <w:rPr>
                <w:rFonts w:hAnsi="等线"/>
                <w:color w:val="000000"/>
                <w:sz w:val="18"/>
                <w:szCs w:val="18"/>
              </w:rPr>
              <w:t>PMID: 19934298</w:t>
            </w:r>
            <w:r>
              <w:rPr>
                <w:rFonts w:hint="eastAsia" w:hAnsi="等线"/>
                <w:color w:val="000000"/>
                <w:sz w:val="18"/>
                <w:szCs w:val="18"/>
              </w:rPr>
              <w:t>;</w:t>
            </w:r>
            <w:r>
              <w:rPr>
                <w:rFonts w:hAnsi="等线"/>
                <w:color w:val="000000"/>
                <w:sz w:val="18"/>
                <w:szCs w:val="18"/>
              </w:rPr>
              <w:t xml:space="preserve"> PMID: 19028457</w:t>
            </w:r>
            <w:r>
              <w:rPr>
                <w:rFonts w:hint="eastAsia" w:hAnsi="等线"/>
                <w:color w:val="000000"/>
                <w:sz w:val="18"/>
                <w:szCs w:val="18"/>
              </w:rPr>
              <w:t>）。除了形成同二聚体之外，Ret也已发现可在MET扩增的肺癌细胞中与MET结合（</w:t>
            </w:r>
            <w:r>
              <w:rPr>
                <w:rFonts w:hAnsi="等线"/>
                <w:color w:val="000000"/>
                <w:sz w:val="18"/>
                <w:szCs w:val="18"/>
              </w:rPr>
              <w:t>PMID: 21847121</w:t>
            </w:r>
            <w:r>
              <w:rPr>
                <w:rFonts w:hint="eastAsia" w:hAnsi="等线"/>
                <w:color w:val="000000"/>
                <w:sz w:val="18"/>
                <w:szCs w:val="18"/>
              </w:rPr>
              <w:t>），并且</w:t>
            </w:r>
            <w:r>
              <w:rPr>
                <w:rFonts w:hAnsi="等线"/>
                <w:color w:val="000000"/>
                <w:sz w:val="18"/>
                <w:szCs w:val="18"/>
              </w:rPr>
              <w:t>IL-6R和ERa的功能性相互作用调节雌激素受体a (Era</w:t>
            </w:r>
            <w:r>
              <w:rPr>
                <w:rFonts w:hint="eastAsia" w:hAnsi="等线"/>
                <w:color w:val="000000"/>
                <w:sz w:val="18"/>
                <w:szCs w:val="18"/>
              </w:rPr>
              <w:t>)</w:t>
            </w:r>
            <w:r>
              <w:rPr>
                <w:rFonts w:hAnsi="等线"/>
                <w:color w:val="000000"/>
                <w:sz w:val="18"/>
                <w:szCs w:val="18"/>
              </w:rPr>
              <w:t>+乳腺癌的肿瘤生长和转移</w:t>
            </w:r>
            <w:r>
              <w:rPr>
                <w:rFonts w:hint="eastAsia" w:hAnsi="等线"/>
                <w:color w:val="000000"/>
                <w:sz w:val="18"/>
                <w:szCs w:val="18"/>
              </w:rPr>
              <w:t>（</w:t>
            </w:r>
            <w:r>
              <w:rPr>
                <w:rFonts w:hAnsi="等线"/>
                <w:color w:val="000000"/>
                <w:sz w:val="18"/>
                <w:szCs w:val="18"/>
              </w:rPr>
              <w:t>PMID: 21251878</w:t>
            </w:r>
            <w:r>
              <w:rPr>
                <w:rFonts w:hint="eastAsia" w:hAnsi="等线"/>
                <w:color w:val="000000"/>
                <w:sz w:val="18"/>
                <w:szCs w:val="18"/>
              </w:rPr>
              <w:t>;</w:t>
            </w:r>
            <w:r>
              <w:rPr>
                <w:rFonts w:hAnsi="等线"/>
                <w:color w:val="000000"/>
                <w:sz w:val="18"/>
                <w:szCs w:val="18"/>
              </w:rPr>
              <w:t xml:space="preserve"> PMID: 23868506</w:t>
            </w:r>
            <w:r>
              <w:rPr>
                <w:rFonts w:hint="eastAsia" w:hAnsi="等线"/>
                <w:color w:val="000000"/>
                <w:sz w:val="18"/>
                <w:szCs w:val="18"/>
              </w:rPr>
              <w:t>）。</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ROS1</w:t>
            </w:r>
          </w:p>
        </w:tc>
        <w:tc>
          <w:tcPr>
            <w:tcW w:w="4182" w:type="pct"/>
            <w:vAlign w:val="center"/>
          </w:tcPr>
          <w:p>
            <w:pPr>
              <w:rPr>
                <w:rFonts w:hAnsi="等线"/>
                <w:color w:val="000000"/>
                <w:sz w:val="18"/>
                <w:szCs w:val="18"/>
              </w:rPr>
            </w:pPr>
            <w:r>
              <w:rPr>
                <w:rFonts w:hint="eastAsia" w:hAnsi="等线"/>
                <w:color w:val="000000"/>
                <w:sz w:val="18"/>
                <w:szCs w:val="18"/>
              </w:rPr>
              <w:t>c-ROS原癌基因1（ROS1）是禽类肉瘤病毒UR2转化基因v-ros的人类同源基因，编码胰岛素受体亚家族的受体酪氨酸激酶（RTK）。c-ROS是一种孤儿受体酪氨酸激酶，在肺组织中高度表达，其正常生理性配体未知（</w:t>
            </w:r>
            <w:r>
              <w:rPr>
                <w:rFonts w:hAnsi="等线"/>
                <w:color w:val="000000"/>
                <w:sz w:val="18"/>
                <w:szCs w:val="18"/>
              </w:rPr>
              <w:t>PMID: 18778756</w:t>
            </w:r>
            <w:r>
              <w:rPr>
                <w:rFonts w:hint="eastAsia" w:hAnsi="等线"/>
                <w:color w:val="000000"/>
                <w:sz w:val="18"/>
                <w:szCs w:val="18"/>
              </w:rPr>
              <w:t>;</w:t>
            </w:r>
            <w:r>
              <w:rPr>
                <w:rFonts w:hAnsi="等线"/>
                <w:color w:val="000000"/>
                <w:sz w:val="18"/>
                <w:szCs w:val="18"/>
              </w:rPr>
              <w:t xml:space="preserve"> PMID: 22500682</w:t>
            </w:r>
            <w:r>
              <w:rPr>
                <w:rFonts w:hint="eastAsia" w:hAnsi="等线"/>
                <w:color w:val="000000"/>
                <w:sz w:val="18"/>
                <w:szCs w:val="18"/>
              </w:rPr>
              <w:t>）。然而，c-ROS与间变性淋巴瘤激酶（ALK）进化相关，其信号可促进PLCγ，MAPK和PI3K信号传导，并影响细胞增殖和细胞间相互作用（</w:t>
            </w:r>
            <w:r>
              <w:rPr>
                <w:rFonts w:hAnsi="等线"/>
                <w:color w:val="000000"/>
                <w:sz w:val="18"/>
                <w:szCs w:val="18"/>
              </w:rPr>
              <w:t>PMID: 22500682</w:t>
            </w:r>
            <w:r>
              <w:rPr>
                <w:rFonts w:hint="eastAsia" w:hAnsi="等线"/>
                <w:color w:val="000000"/>
                <w:sz w:val="18"/>
                <w:szCs w:val="18"/>
              </w:rPr>
              <w:t>;</w:t>
            </w:r>
            <w:r>
              <w:rPr>
                <w:rFonts w:hAnsi="等线"/>
                <w:color w:val="FF0000"/>
                <w:sz w:val="18"/>
                <w:szCs w:val="18"/>
              </w:rPr>
              <w:t xml:space="preserve"> </w:t>
            </w:r>
            <w:r>
              <w:rPr>
                <w:rFonts w:hAnsi="等线"/>
                <w:sz w:val="18"/>
                <w:szCs w:val="18"/>
              </w:rPr>
              <w:t>PMID: 8999820</w:t>
            </w:r>
            <w:r>
              <w:rPr>
                <w:rFonts w:hint="eastAsia" w:hAnsi="等线"/>
                <w:color w:val="000000"/>
                <w:sz w:val="18"/>
                <w:szCs w:val="18"/>
              </w:rPr>
              <w:t>）。c-ROS的前1861个N-末端密码子构成一个非常大的胞外结构域，而c-ROS的C-末端结构域的464个残基构成细胞质结构域（</w:t>
            </w:r>
            <w:r>
              <w:rPr>
                <w:rFonts w:hAnsi="等线"/>
                <w:color w:val="000000"/>
                <w:sz w:val="18"/>
                <w:szCs w:val="18"/>
              </w:rPr>
              <w:t>PMID: 2352949</w:t>
            </w:r>
            <w:r>
              <w:rPr>
                <w:rFonts w:hint="eastAsia" w:hAnsi="等线"/>
                <w:color w:val="000000"/>
                <w:sz w:val="18"/>
                <w:szCs w:val="18"/>
              </w:rPr>
              <w:t>;</w:t>
            </w:r>
            <w:r>
              <w:rPr>
                <w:rFonts w:hAnsi="等线"/>
                <w:color w:val="000000"/>
                <w:sz w:val="18"/>
                <w:szCs w:val="18"/>
              </w:rPr>
              <w:t xml:space="preserve"> PMID: 22500682</w:t>
            </w:r>
            <w:r>
              <w:rPr>
                <w:rFonts w:hint="eastAsia" w:hAnsi="等线"/>
                <w:color w:val="000000"/>
                <w:sz w:val="18"/>
                <w:szCs w:val="18"/>
              </w:rPr>
              <w:t>）。c-ROS被确认为非小细胞肺癌（NSCLC）和胆管癌的致癌基因，c-ROS的细胞质激酶结构域与其他N末端伴侣基因融合（</w:t>
            </w:r>
            <w:r>
              <w:rPr>
                <w:rFonts w:hAnsi="等线"/>
                <w:color w:val="000000"/>
                <w:sz w:val="18"/>
                <w:szCs w:val="18"/>
              </w:rPr>
              <w:t>PMID: 22500682</w:t>
            </w:r>
            <w:r>
              <w:rPr>
                <w:rFonts w:hint="eastAsia" w:hAnsi="等线"/>
                <w:color w:val="000000"/>
                <w:sz w:val="18"/>
                <w:szCs w:val="18"/>
              </w:rPr>
              <w:t>）。虽然许多下游信号蛋白已被证明与</w:t>
            </w:r>
            <w:r>
              <w:rPr>
                <w:rFonts w:hAnsi="等线"/>
                <w:color w:val="000000"/>
                <w:sz w:val="18"/>
                <w:szCs w:val="18"/>
              </w:rPr>
              <w:t>c-ROS相互作用，但</w:t>
            </w:r>
            <w:r>
              <w:rPr>
                <w:rFonts w:hint="eastAsia" w:hAnsi="等线"/>
                <w:color w:val="000000"/>
                <w:sz w:val="18"/>
                <w:szCs w:val="18"/>
              </w:rPr>
              <w:t>ROS1基因融合的转变主要表现为</w:t>
            </w:r>
            <w:r>
              <w:rPr>
                <w:rFonts w:hAnsi="等线"/>
                <w:color w:val="000000"/>
                <w:sz w:val="18"/>
                <w:szCs w:val="18"/>
              </w:rPr>
              <w:t>细胞骨架蛋白的磷酸化和PI3K通路的激活</w:t>
            </w:r>
            <w:r>
              <w:rPr>
                <w:rFonts w:hint="eastAsia" w:hAnsi="等线"/>
                <w:color w:val="000000"/>
                <w:sz w:val="18"/>
                <w:szCs w:val="18"/>
              </w:rPr>
              <w:t>（</w:t>
            </w:r>
            <w:r>
              <w:rPr>
                <w:rFonts w:hAnsi="等线"/>
                <w:color w:val="000000"/>
                <w:sz w:val="18"/>
                <w:szCs w:val="18"/>
              </w:rPr>
              <w:t>PMID: 8999820</w:t>
            </w:r>
            <w:r>
              <w:rPr>
                <w:rFonts w:hint="eastAsia" w:hAnsi="等线"/>
                <w:color w:val="000000"/>
                <w:sz w:val="18"/>
                <w:szCs w:val="18"/>
              </w:rPr>
              <w:t>;</w:t>
            </w:r>
            <w:r>
              <w:rPr>
                <w:rFonts w:hAnsi="等线"/>
                <w:color w:val="000000"/>
                <w:sz w:val="18"/>
                <w:szCs w:val="18"/>
              </w:rPr>
              <w:t xml:space="preserve"> PMID: 11094073</w:t>
            </w:r>
            <w:r>
              <w:rPr>
                <w:rFonts w:hint="eastAsia" w:hAnsi="等线"/>
                <w:color w:val="000000"/>
                <w:sz w:val="18"/>
                <w:szCs w:val="18"/>
              </w:rPr>
              <w:t>;</w:t>
            </w:r>
            <w:r>
              <w:rPr>
                <w:rFonts w:hAnsi="等线"/>
                <w:color w:val="000000"/>
                <w:sz w:val="18"/>
                <w:szCs w:val="18"/>
              </w:rPr>
              <w:t xml:space="preserve"> PMID: 11799110</w:t>
            </w:r>
            <w:r>
              <w:rPr>
                <w:rFonts w:hint="eastAsia" w:hAnsi="等线"/>
                <w:color w:val="000000"/>
                <w:sz w:val="18"/>
                <w:szCs w:val="18"/>
              </w:rPr>
              <w:t>;</w:t>
            </w:r>
            <w:r>
              <w:rPr>
                <w:rFonts w:hAnsi="等线"/>
                <w:color w:val="000000"/>
                <w:sz w:val="18"/>
                <w:szCs w:val="18"/>
              </w:rPr>
              <w:t xml:space="preserve"> PMID: 12646574</w:t>
            </w:r>
            <w:r>
              <w:rPr>
                <w:rFonts w:hint="eastAsia" w:hAnsi="等线"/>
                <w:color w:val="000000"/>
                <w:sz w:val="18"/>
                <w:szCs w:val="18"/>
              </w:rPr>
              <w:t>;</w:t>
            </w:r>
            <w:r>
              <w:rPr>
                <w:sz w:val="18"/>
                <w:szCs w:val="18"/>
              </w:rPr>
              <w:t xml:space="preserve"> </w:t>
            </w:r>
            <w:r>
              <w:rPr>
                <w:rFonts w:hAnsi="等线"/>
                <w:color w:val="000000"/>
                <w:sz w:val="18"/>
                <w:szCs w:val="18"/>
              </w:rPr>
              <w:t>PMID: 22500682</w:t>
            </w:r>
            <w:r>
              <w:rPr>
                <w:rFonts w:hint="eastAsia" w:hAnsi="等线"/>
                <w:color w:val="000000"/>
                <w:sz w:val="18"/>
                <w:szCs w:val="18"/>
              </w:rPr>
              <w:t>）。</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TSC1</w:t>
            </w:r>
          </w:p>
        </w:tc>
        <w:tc>
          <w:tcPr>
            <w:tcW w:w="4182" w:type="pct"/>
            <w:vAlign w:val="center"/>
          </w:tcPr>
          <w:p>
            <w:pPr>
              <w:rPr>
                <w:rFonts w:hAnsi="等线"/>
                <w:color w:val="000000"/>
                <w:sz w:val="18"/>
                <w:szCs w:val="18"/>
              </w:rPr>
            </w:pPr>
            <w:r>
              <w:rPr>
                <w:rFonts w:hint="eastAsia" w:hAnsi="等线"/>
                <w:color w:val="000000"/>
                <w:sz w:val="18"/>
                <w:szCs w:val="18"/>
              </w:rPr>
              <w:t>TSC1（又称错构瘤蛋白）是mTOR促癌信号通路的关键负调控因子（PMID: 10205261）。mTOR信号通路在促进细胞生长和调节蛋白质合成的过程中起着核心作用。</w:t>
            </w:r>
            <w:r>
              <w:rPr>
                <w:rFonts w:hAnsi="等线"/>
                <w:color w:val="000000"/>
                <w:sz w:val="18"/>
                <w:szCs w:val="18"/>
              </w:rPr>
              <w:t>TSC1作为支架与TBC1D7和TSC2形成异聚体复合物</w:t>
            </w:r>
            <w:r>
              <w:rPr>
                <w:rFonts w:hint="eastAsia" w:hAnsi="等线"/>
                <w:color w:val="000000"/>
                <w:sz w:val="18"/>
                <w:szCs w:val="18"/>
              </w:rPr>
              <w:t>，构成的TSC复合物可作为GTP酶活化蛋白（GAP）发挥作用并抑制RHEB蛋白活性（PMID:24714658），RHEB是一种GTP酶，可作为小分子开关，当与GTP结合时激活下游mTORC1信号（PMID:24863881）。TSC1和TSC2可被多种激酶磷酸化（如AKT，RSK1，ERK，AMPK和GSK3），从而通过多种不同的信号通路对mTOR通路进行调控抑制（PMID:16959574）。</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TSC2</w:t>
            </w:r>
          </w:p>
        </w:tc>
        <w:tc>
          <w:tcPr>
            <w:tcW w:w="4182" w:type="pct"/>
            <w:vAlign w:val="center"/>
          </w:tcPr>
          <w:p>
            <w:pPr>
              <w:rPr>
                <w:rFonts w:hAnsi="等线"/>
                <w:color w:val="000000"/>
                <w:sz w:val="18"/>
                <w:szCs w:val="18"/>
              </w:rPr>
            </w:pPr>
            <w:r>
              <w:rPr>
                <w:rFonts w:hint="eastAsia" w:hAnsi="等线"/>
                <w:color w:val="000000"/>
                <w:sz w:val="18"/>
                <w:szCs w:val="18"/>
              </w:rPr>
              <w:t>TSC2是mTOR促癌信号通路的关键负调控因子（PMID: 10205261）。mTOR信号通路在促进细胞生长和调节蛋白质合成的过程中发挥重要作用。</w:t>
            </w:r>
            <w:r>
              <w:rPr>
                <w:rFonts w:hAnsi="等线"/>
                <w:color w:val="000000"/>
                <w:sz w:val="18"/>
                <w:szCs w:val="18"/>
              </w:rPr>
              <w:t>TSC2作为支架与TBC1D7和TSC1形成异聚体复合物</w:t>
            </w:r>
            <w:r>
              <w:rPr>
                <w:rFonts w:hint="eastAsia" w:hAnsi="等线"/>
                <w:color w:val="000000"/>
                <w:sz w:val="18"/>
                <w:szCs w:val="18"/>
              </w:rPr>
              <w:t>，构成的TSC复合物可作为GTP酶活化蛋白发挥作用并抑制RHEB蛋白活性（PMID:24714658），RHEB是一种GTP酶，可作为小分子开关，当与GTP结合时激活下游mTORC1信号（PMID:24863881）。TSC1和TSC2可被多种激酶磷酸化（如AKT，RSK1，ERK，AMPK和GSK3）从而通过多种不同的信号通路对mTOR通路进行抑制（PMID:16959574）。</w:t>
            </w:r>
          </w:p>
        </w:tc>
      </w:tr>
    </w:tbl>
    <w:p>
      <w:r>
        <w:br w:type="page"/>
      </w:r>
    </w:p>
    <w:p>
      <w:pPr>
        <w:spacing w:before="340" w:line="360" w:lineRule="auto"/>
        <w:ind w:firstLine="600" w:firstLineChars="200"/>
        <w:jc w:val="left"/>
        <w:outlineLvl w:val="1"/>
        <w:rPr>
          <w:rFonts w:hint="eastAsia" w:hAnsi="等线" w:cs="Arial"/>
          <w:b/>
          <w:bCs/>
          <w:color w:val="00B0F0"/>
          <w:sz w:val="30"/>
          <w:szCs w:val="30"/>
        </w:rPr>
      </w:pPr>
      <w:bookmarkStart w:id="98" w:name="肺癌靶向药物介绍"/>
      <w:bookmarkEnd w:id="98"/>
      <w:bookmarkStart w:id="99" w:name="_Toc11747"/>
      <w:r>
        <w:rPr>
          <w:rFonts w:hint="default" w:hAnsi="等线" w:cs="Arial"/>
          <w:b/>
          <w:bCs/>
          <w:color w:val="00B0F0"/>
          <w:sz w:val="30"/>
          <w:szCs w:val="30"/>
          <w:lang w:val="en-US"/>
        </w:rPr>
        <w:drawing>
          <wp:anchor distT="0" distB="0" distL="114300" distR="114300" simplePos="0" relativeHeight="251701248" behindDoc="0" locked="0" layoutInCell="1" allowOverlap="1">
            <wp:simplePos x="0" y="0"/>
            <wp:positionH relativeFrom="column">
              <wp:posOffset>-9525</wp:posOffset>
            </wp:positionH>
            <wp:positionV relativeFrom="paragraph">
              <wp:posOffset>52070</wp:posOffset>
            </wp:positionV>
            <wp:extent cx="295275" cy="297180"/>
            <wp:effectExtent l="0" t="0" r="9525" b="7620"/>
            <wp:wrapNone/>
            <wp:docPr id="1049" name="图片 79" descr="D:\解码\4x\资源 4@47.png资源 4@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9" descr="D:\解码\4x\资源 4@47.png资源 4@47"/>
                    <pic:cNvPicPr>
                      <a:picLocks noChangeAspect="1"/>
                    </pic:cNvPicPr>
                  </pic:nvPicPr>
                  <pic:blipFill>
                    <a:blip r:embed="rId16"/>
                    <a:srcRect/>
                    <a:stretch>
                      <a:fillRect/>
                    </a:stretch>
                  </pic:blipFill>
                  <pic:spPr>
                    <a:xfrm>
                      <a:off x="0" y="0"/>
                      <a:ext cx="295275" cy="297180"/>
                    </a:xfrm>
                    <a:prstGeom prst="rect">
                      <a:avLst/>
                    </a:prstGeom>
                  </pic:spPr>
                </pic:pic>
              </a:graphicData>
            </a:graphic>
          </wp:anchor>
        </w:drawing>
      </w:r>
      <w:r>
        <w:rPr>
          <w:rFonts w:hint="eastAsia" w:hAnsi="等线" w:cs="Arial"/>
          <w:b/>
          <w:bCs/>
          <w:color w:val="00B0F0"/>
          <w:sz w:val="30"/>
          <w:szCs w:val="30"/>
          <w:lang w:val="en-US" w:eastAsia="zh-CN"/>
        </w:rPr>
        <w:t>结直肠癌</w:t>
      </w:r>
      <w:r>
        <w:rPr>
          <w:rFonts w:hint="eastAsia" w:hAnsi="等线" w:cs="Arial"/>
          <w:b/>
          <w:bCs/>
          <w:color w:val="00B0F0"/>
          <w:sz w:val="30"/>
          <w:szCs w:val="30"/>
        </w:rPr>
        <w:t>靶向药物介绍</w:t>
      </w:r>
      <w:bookmarkEnd w:id="99"/>
      <w:bookmarkStart w:id="100" w:name="靶向药物介绍"/>
      <w:bookmarkEnd w:id="100"/>
    </w:p>
    <w:tbl>
      <w:tblPr>
        <w:tblStyle w:val="21"/>
        <w:tblW w:w="4982" w:type="pct"/>
        <w:tblInd w:w="0" w:type="dxa"/>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Layout w:type="autofit"/>
        <w:tblCellMar>
          <w:top w:w="0" w:type="dxa"/>
          <w:left w:w="108" w:type="dxa"/>
          <w:bottom w:w="0" w:type="dxa"/>
          <w:right w:w="108" w:type="dxa"/>
        </w:tblCellMar>
      </w:tblPr>
      <w:tblGrid>
        <w:gridCol w:w="1925"/>
        <w:gridCol w:w="2"/>
        <w:gridCol w:w="1554"/>
        <w:gridCol w:w="2"/>
        <w:gridCol w:w="6335"/>
        <w:gridCol w:w="2"/>
      </w:tblGrid>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blHeader/>
        </w:trPr>
        <w:tc>
          <w:tcPr>
            <w:tcW w:w="980" w:type="pct"/>
            <w:tcBorders>
              <w:tl2br w:val="nil"/>
              <w:tr2bl w:val="nil"/>
            </w:tcBorders>
            <w:shd w:val="clear" w:color="auto" w:fill="00B0F0"/>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rFonts w:hint="eastAsia" w:hAnsi="等线"/>
                <w:b/>
                <w:bCs/>
                <w:color w:val="FFFFFF"/>
                <w:sz w:val="24"/>
                <w:szCs w:val="24"/>
                <w:lang w:val="en-US" w:eastAsia="zh-CN"/>
              </w:rPr>
            </w:pPr>
            <w:r>
              <w:rPr>
                <w:rFonts w:hint="eastAsia" w:hAnsi="等线"/>
                <w:b/>
                <w:bCs/>
                <w:color w:val="FFFFFF"/>
                <w:sz w:val="24"/>
                <w:szCs w:val="24"/>
                <w:lang w:val="en-US" w:eastAsia="zh-CN"/>
              </w:rPr>
              <w:t>药物名称/中文名</w:t>
            </w:r>
          </w:p>
        </w:tc>
        <w:tc>
          <w:tcPr>
            <w:tcW w:w="792" w:type="pct"/>
            <w:gridSpan w:val="2"/>
            <w:tcBorders>
              <w:tl2br w:val="nil"/>
              <w:tr2bl w:val="nil"/>
            </w:tcBorders>
            <w:shd w:val="clear" w:color="auto" w:fill="00B0F0"/>
            <w:vAlign w:val="center"/>
          </w:tcPr>
          <w:p>
            <w:pPr>
              <w:jc w:val="center"/>
              <w:rPr>
                <w:rFonts w:hint="eastAsia" w:hAnsi="等线"/>
                <w:b/>
                <w:bCs/>
                <w:color w:val="FFFFFF"/>
                <w:sz w:val="24"/>
                <w:szCs w:val="24"/>
                <w:lang w:val="en-US" w:eastAsia="zh-CN"/>
              </w:rPr>
            </w:pPr>
            <w:r>
              <w:rPr>
                <w:rFonts w:hint="eastAsia" w:hAnsi="等线"/>
                <w:b/>
                <w:bCs/>
                <w:color w:val="FFFFFF"/>
                <w:sz w:val="24"/>
                <w:szCs w:val="24"/>
                <w:lang w:val="en-US" w:eastAsia="zh-CN"/>
              </w:rPr>
              <w:t>适应症</w:t>
            </w:r>
          </w:p>
        </w:tc>
        <w:tc>
          <w:tcPr>
            <w:tcW w:w="3226" w:type="pct"/>
            <w:gridSpan w:val="2"/>
            <w:tcBorders>
              <w:tl2br w:val="nil"/>
              <w:tr2bl w:val="nil"/>
            </w:tcBorders>
            <w:shd w:val="clear" w:color="auto" w:fill="00B0F0"/>
            <w:vAlign w:val="center"/>
          </w:tcPr>
          <w:p>
            <w:pPr>
              <w:jc w:val="center"/>
              <w:rPr>
                <w:rFonts w:hint="eastAsia" w:hAnsi="等线"/>
                <w:b/>
                <w:bCs/>
                <w:color w:val="FFFFFF"/>
                <w:sz w:val="24"/>
                <w:szCs w:val="24"/>
                <w:lang w:val="en-US" w:eastAsia="zh-CN"/>
              </w:rPr>
            </w:pPr>
            <w:r>
              <w:rPr>
                <w:rFonts w:hint="eastAsia" w:hAnsi="等线"/>
                <w:b/>
                <w:bCs/>
                <w:color w:val="FFFFFF"/>
                <w:sz w:val="24"/>
                <w:szCs w:val="24"/>
                <w:lang w:val="en-US" w:eastAsia="zh-CN"/>
              </w:rPr>
              <w:t>药物小结</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jc w:val="center"/>
              <w:rPr>
                <w:rFonts w:hAnsi="等线"/>
                <w:color w:val="000000"/>
                <w:sz w:val="18"/>
                <w:szCs w:val="18"/>
              </w:rPr>
            </w:pPr>
            <w:r>
              <w:rPr>
                <w:rFonts w:hint="eastAsia" w:hAnsi="等线"/>
                <w:color w:val="000000"/>
                <w:sz w:val="18"/>
                <w:szCs w:val="18"/>
              </w:rPr>
              <w:t>Bevacizumab</w:t>
            </w:r>
            <w:r>
              <w:rPr>
                <w:rFonts w:hint="eastAsia" w:hAnsi="等线"/>
                <w:color w:val="000000"/>
                <w:sz w:val="18"/>
                <w:szCs w:val="18"/>
              </w:rPr>
              <w:br w:type="textWrapping"/>
            </w:r>
            <w:r>
              <w:rPr>
                <w:rFonts w:hint="eastAsia" w:hAnsi="等线"/>
                <w:color w:val="000000"/>
                <w:sz w:val="18"/>
                <w:szCs w:val="18"/>
              </w:rPr>
              <w:t>贝伐珠单抗</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结直肠癌、非小细胞肺癌、胶质母细胞瘤、肾癌、宫颈癌、上皮性卵巢癌、输卵管癌、原发性腹膜癌、肝癌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Avastin是一种血管内皮生长因子抑制剂，其适应症为：1.与基于氟尿嘧啶的静脉化疗联合用于转移性结直肠癌的一线或二线治疗。2.与基于氟嘧啶-伊立替康或氟嘧啶-奥沙利铂的化疗联合用于含Avastin一线方案治疗后疾病进展的转移性结直肠癌的二线治疗。3.与卡铂、紫杉醇联合用于不可切除的、局部晚期、复发性或转移性非鳞状非小细胞肺癌的一线治疗。4.成人复发性胶质母细胞瘤。5.联合干扰素α用于治疗转移性肾细胞癌。6.与紫杉醇、顺铂或紫杉醇、拓扑替康联合，用于治疗持续性、复发性或转移性宫颈癌。7.上皮性卵巢癌、输卵管癌或原发性腹膜癌：(1)与卡铂和紫杉醇联合，然后使用Avastin单药，用于治疗首次手术切除后的III期或IV期疾病。(2)与紫杉醇、聚乙二醇脂质体多柔比星或拓扑替康联合，用于治疗既往接受不超过2个化疗方案的铂耐复发性疾病。(3)与卡铂、紫杉醇或卡铂、吉西他滨联合，然后使用Avastin单药，用于治疗铂敏感复发性疾病。8.与Atezolizumab联合用于治疗既往未接受过全身治疗的不可切除或转移性肝细胞癌(HCC)患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Bevacizumab结合VEGF并阻止VEGF与其内皮细胞表面的受体(Flt-1和KDR)相互作用。在体外血管生成模型中，VEGF与其受体的相互作用导致内皮细胞增殖和新血管形成。在裸鼠结肠癌异种移植模型中给予贝伐单抗，导致微血管生长减少和转移疾病进展的抑制。</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Bevacizumab-bvzr</w:t>
            </w:r>
            <w:r>
              <w:rPr>
                <w:rFonts w:hint="eastAsia" w:hAnsi="等线"/>
                <w:color w:val="000000"/>
                <w:sz w:val="18"/>
                <w:szCs w:val="18"/>
              </w:rPr>
              <w:br w:type="textWrapping"/>
            </w:r>
            <w:r>
              <w:rPr>
                <w:rFonts w:hint="eastAsia" w:hAnsi="等线"/>
                <w:color w:val="000000"/>
                <w:sz w:val="18"/>
                <w:szCs w:val="18"/>
              </w:rPr>
              <w:t>贝伐珠单抗-bvzr</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结直肠癌、非小细胞肺癌、胶质母细胞瘤、肾癌、宫颈癌、上皮性卵巢癌、输卵管癌、原发性腹膜癌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ZIRABEV是一种血管内皮生长因子抑制剂，其适应症为：1.与基于氟尿嘧啶的静脉化疗联合用于转移性结直肠癌的一线或二线治疗。2.与基于氟嘧啶-伊立替康或氟嘧啶-奥沙利铂的化疗联合用于含ZIRABEV一线方案治疗后疾病进展的转移性结直肠癌的二线治疗。3.与卡铂、紫杉醇联合用于不可切除的、局部晚期、复发性或转移性非鳞状非小细胞肺癌的一线治疗。4.成人复发性胶质母细胞瘤。5.联合干扰素α用于治疗转移性肾细胞癌。6.与紫杉醇、顺铂或紫杉醇、拓扑替康联合，用于治疗持续性、复发性或转移性宫颈癌。7.上皮性卵巢癌、输卵管癌或原发性腹膜癌：(1)与卡铂和紫杉醇联合，然后使用ZIRABEV单药，用于治疗首次手术切除后的III期或IV期疾病。(2)与紫杉醇、聚乙二醇脂质体多柔比星或拓扑替康联合，用于治疗既往接受不超过2个化疗方案的铂耐复发性疾病。(3)与卡铂、紫杉醇或卡铂、吉西他滨联合，然后使用ZIRABEV单药，用于治疗铂敏感复发性疾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Bevacizumab结合VEGF并阻止VEGF与其内皮细胞表面的受体(Flt-1和KDR)相互作用。在体外血管生成模型中，VEGF与其受体的相互作用导致内皮细胞增殖和新血管形成。在裸鼠结肠癌异种移植模型中给予贝伐单抗，导致微血管生长减少和转移疾病进展的抑制。</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Bevacizumab-awwb贝伐珠单抗-awwb</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结直肠癌、非小细胞肺癌、胶质母细胞瘤、肾癌、宫颈癌、上皮性卵巢癌、输卵管癌、原发性腹膜癌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MVASI是一种血管内皮生长因子抑制剂，其适应症为：1.与基于氟尿嘧啶的静脉化疗联合用于转移性结直肠癌的一线或二线治疗。2.与基于氟嘧啶-伊立替康或氟嘧啶-奥沙利铂的化疗联合用于含MVASI一线方案治疗后疾病进展的转移性结直肠癌的二线治疗。3.与卡铂、紫杉醇联合用于不可切除的、局部晚期、复发性或转移性非鳞状非小细胞肺癌的一线治疗。4.成人复发性胶质母细胞瘤。5.联合干扰素α用于治疗转移性肾细胞癌。6.与紫杉醇、顺铂或紫杉醇、拓扑替康联合，用于治疗持续性、复发性或转移性宫颈癌。7.上皮性卵巢癌、输卵管癌或原发性腹膜癌：(1)与卡铂和紫杉醇联合，然后使用MVASI单药，用于治疗首次手术切除后的III期或IV期疾病。(2)与紫杉醇、聚乙二醇脂质体多柔比星或拓扑替康联合，用于治疗既往接受不超过2个化疗方案的铂耐复发性疾病。(3)与卡铂、紫杉醇或卡铂、吉西他滨联合，然后使用MVASI单药，用于治疗铂敏感复发性疾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Bevacizumab结合VEGF并阻止VEGF与其内皮细胞表面的受体(Flt-1和KDR)相互作用。在体外血管生成模型中，VEGF与其受体的相互作用导致内皮细胞增殖和新血管形成。在裸鼠结肠癌异种移植模型中给予贝伐单抗，导致微血管生长减少和转移疾病进展的抑制。</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Cetuximab</w:t>
            </w:r>
            <w:r>
              <w:rPr>
                <w:rFonts w:hint="eastAsia" w:hAnsi="等线"/>
                <w:color w:val="000000"/>
                <w:sz w:val="18"/>
                <w:szCs w:val="18"/>
              </w:rPr>
              <w:br w:type="textWrapping"/>
            </w:r>
            <w:r>
              <w:rPr>
                <w:rFonts w:hint="eastAsia" w:hAnsi="等线"/>
                <w:color w:val="000000"/>
                <w:sz w:val="18"/>
                <w:szCs w:val="18"/>
              </w:rPr>
              <w:t>西妥昔单抗</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头颈癌、结直肠癌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ERBITUX是一种表皮生长因子受体(EGFR)拮抗剂，其适应症包括：1.联合放疗用于治疗局部或区域晚期头颈鳞癌。2.联合铂类和氟尿嘧啶用于治疗头颈部复发性局部疾病或转移性头颈鳞癌。3.铂类治疗后进展的复发性或转移性头颈鳞癌。4.联合FOLFIRI用于K-Ras野生型、EGFR表达阳性的转移性结直肠癌的一线治疗。5.联合伊立替康用于治疗对基于伊立替康化疗耐药的K-Ras野生型、EGFR表达阳性的转移性结直肠癌患者。6.单药用于治疗对奥沙利铂和伊立替康为基础的化疗失败或对伊立替康不耐受的K-Ras野生型、EGFR表达阳性的转移性结直肠癌患者。7.联合康奈非尼用于先前治疗后携带BRAF V600E突变的转移性结直肠癌(CRC)成人患者。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表皮生长因子受体（EGFR，HER1，c-ErbB-1）是一种跨膜糖蛋白，是I型受体酪氨酸激酶亚家族（包括EGFR，HER2，HER3和HER4）的成员。EGFR在包括皮肤和毛囊在内的许多正常上皮组织中组成性表达。EGFR的表达在许多人类肿瘤（包括头颈部、结肠和直肠癌）中也能检测到。西妥昔单抗(Cetuximab)可以特异性地与正常细胞和肿瘤细胞表面的EGFR结合,竞争性抑制EGFR与表皮生长因子（EGF）或其他配体（如转化生长因子-α）的结合。体外试验和体内动物研究表明，西妥昔单抗(Cetuximab)与EGFR的结合可阻断受体相关激酶的磷酸化和激活，从而抑制细胞生长，诱导细胞凋亡，降低基质金属蛋白酶和血管内皮生长因子的生成。EGFR信号转导可导致野生型Ras蛋白的激活，但在有Ras体细胞激活突变的细胞中，Ras突变蛋白处于持续激活状态，且独立于EGFR的调控。在体外，西妥昔单抗(Cetuximab)可介导针对某些类型的人类肿瘤的抗体依赖性细胞介导的细胞毒作用（ADCC）。体外试验和体内动物研究表明，西妥昔单抗(Cetuximab)可抑制表达EGFR肿瘤细胞的生长和存活。在缺乏EGFR表达的人肿瘤异种移植模型中未观察到西妥昔单抗(Cetuximab)的抗肿瘤作用。在小鼠人源肿瘤异种移植模型中，放疗或伊立替康(Irinotecan)加用西妥昔单抗(Cetuximab)后，抗肿瘤效果比单纯放疗或化疗更好。</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trHeight w:val="567" w:hRule="atLeast"/>
        </w:trPr>
        <w:tc>
          <w:tcPr>
            <w:tcW w:w="981" w:type="pct"/>
            <w:gridSpan w:val="2"/>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Ramucirumab</w:t>
            </w:r>
            <w:r>
              <w:rPr>
                <w:rFonts w:hint="eastAsia" w:hAnsi="等线"/>
                <w:color w:val="000000"/>
                <w:sz w:val="18"/>
                <w:szCs w:val="18"/>
              </w:rPr>
              <w:br w:type="textWrapping"/>
            </w:r>
            <w:r>
              <w:rPr>
                <w:rFonts w:hint="eastAsia" w:hAnsi="等线"/>
                <w:color w:val="000000"/>
                <w:sz w:val="18"/>
                <w:szCs w:val="18"/>
              </w:rPr>
              <w:t>雷莫卢单抗</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胃癌、食管胃交界处腺癌、非小细胞肺癌、结直肠癌、肝细胞癌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CYRAMZA是一种人血管内皮生长因子受体2(VEGFR2)拮抗剂，其适应症为：1.单药或联合紫杉醇用于治疗既往接受含氟嘧啶或铂化疗期间或之后疾病进展的晚期或转移性胃癌或食管胃交界处腺癌。2.联合厄洛替尼用于一线治疗携带表皮生长因子受体(EGFR)19号外显子缺失或21号外显子(L858R)突变的转移性非小细胞肺癌。3.联合多西他赛用于治疗铂类化疗期间或之后疾病进展的转移性非小细胞肺癌。4.联合FOLFIRI方案用于治疗既往接受贝伐单抗、奥沙利铂和氟嘧啶治疗期间或之后疾病进展的转移性结直肠癌。5.单药用于治疗甲胎蛋白≥400 ng/mL且既往接受过索拉非尼治疗的肝细胞癌患者。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雷莫卢单抗(Ramucirumab)是一种VEGFR2拮抗剂，能特异性结合VEGFR2并阻断VEGFR配体VEGF-A、VEGF-C、VEGF-D的结合。因此，雷莫卢单抗(Ramucirumab)可以抑制配体刺激的VEGFR2激活，进而抑制配体诱导的人内皮细胞增殖和迁移。雷莫卢单抗(Ramucirumab)在体内动物模型中可以抑制血管的生成。</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trHeight w:val="567" w:hRule="atLeast"/>
        </w:trPr>
        <w:tc>
          <w:tcPr>
            <w:tcW w:w="981" w:type="pct"/>
            <w:gridSpan w:val="2"/>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Panitumumab</w:t>
            </w:r>
          </w:p>
          <w:p>
            <w:pPr>
              <w:spacing w:before="60" w:after="60"/>
              <w:jc w:val="center"/>
              <w:rPr>
                <w:rFonts w:hAnsi="等线"/>
                <w:color w:val="000000"/>
                <w:sz w:val="18"/>
                <w:szCs w:val="18"/>
              </w:rPr>
            </w:pPr>
            <w:r>
              <w:rPr>
                <w:rFonts w:hint="eastAsia" w:hAnsi="等线"/>
                <w:color w:val="000000"/>
                <w:sz w:val="18"/>
                <w:szCs w:val="18"/>
              </w:rPr>
              <w:t>帕尼单抗</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结直肠癌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Vectibix是一种表皮生长因子受体(EGFR)拮抗剂，其适应症为：1.联合FOLFOX用于RAS野生型(KRAS和NRAS均为野生型)转移性结直肠癌(mCRC)的一线治疗。2.单药用于治疗既往接受含氟嘧啶类、奥沙利铂和伊立替康化疗后疾病进展的RAS野生型mCRC。</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跨膜糖蛋白EGFR是I型受体酪氨酸激酶（包括EGFR，HER2，HER3和HER4）亚家族的成员。EGFR在包括皮肤和毛囊在内的正常上皮组织中组成性表达。某些人类癌症（包括结肠癌和直肠癌）中EGFR过表达。EGFR与其正常配体（例如EGF、转化生长因子-α）的相互作用导致一系列胞内蛋白的磷酸化和激活，继而调节与细胞生长、存活、运动性以及增殖相关基因的转录。KRAS（Kirsten大鼠肉瘤病毒癌基因同源物）和NRAS（神经母细胞瘤RAS病毒癌基因同源物）是RAS癌基因家族中高度相关的成员。通过EGFR的信号转导可导致野生型KRAS和NRAS蛋白激活。然而，在具有RAS体细胞激活突变的细胞中，RAS突变蛋白处于持续激活状态，不依赖EGFR的调控。帕尼单抗（Panitumumab）可以与正常细胞和肿瘤细胞上的EGFR特异性结合，并竞争性抑制EGFR配体的结合。非临床研究表明，帕尼单抗（Panitumumab）与EGFR结合可阻止配体诱导的受体自磷酸化和受体相关激酶的激活，从而抑制细胞生长、诱导细胞凋亡、减少促炎细胞因子和血管生长因子的产生以及EGFR的内在化。体外试验和体内动物研究表明，帕尼单抗（Panitumumab）可以抑制某些表达EGFR人类肿瘤细胞系的生长和存活。</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Encorafenib</w:t>
            </w:r>
            <w:r>
              <w:rPr>
                <w:rFonts w:hint="eastAsia" w:hAnsi="等线"/>
                <w:color w:val="000000"/>
                <w:sz w:val="18"/>
                <w:szCs w:val="18"/>
              </w:rPr>
              <w:br w:type="textWrapping"/>
            </w:r>
            <w:r>
              <w:rPr>
                <w:rFonts w:hint="eastAsia" w:hAnsi="等线"/>
                <w:color w:val="000000"/>
                <w:sz w:val="18"/>
                <w:szCs w:val="18"/>
              </w:rPr>
              <w:t>康奈非尼</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黑色素瘤、结直肠癌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BRAFTOVI是一种激酶抑制剂，其适应症为：1.联合贝美替尼用于治疗BRAF V600E或V600K突变的不可切除性或转移性黑色素瘤。2.联合西妥昔单抗用于BRAF V600E突变的转移性结直肠癌(CRC)成人患者的二线治疗。</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康奈非尼（Enasidenib）是异柠檬酸脱氢酶2（IDH2）酶的小分子抑制剂。 在体外康奈非尼（Enasidenib）靶向结合IDH2突变R140Q、R172S和R172K的能力比野生型酶高约40倍。 康奈非尼（Enasidenib）对IDH2突变酶的抑制导致2-羟基戊二酸（2-HG）水平降低，可在体外试验和IDH2突变AML的小鼠异种移植模型中诱导髓样分化。 在携带IDH2突变AML患者的血液样本中，康奈非尼（Enasidenib）可降低2-HG水平，减少原始细胞（blast）计数，并增加成熟髓样细胞的百分比。</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Fruquintinib</w:t>
            </w:r>
          </w:p>
          <w:p>
            <w:pPr>
              <w:spacing w:before="60" w:after="60"/>
              <w:jc w:val="center"/>
              <w:rPr>
                <w:rFonts w:hAnsi="等线"/>
                <w:color w:val="000000"/>
                <w:sz w:val="18"/>
                <w:szCs w:val="18"/>
              </w:rPr>
            </w:pPr>
            <w:r>
              <w:rPr>
                <w:rFonts w:hint="eastAsia" w:hAnsi="等线"/>
                <w:color w:val="000000"/>
                <w:sz w:val="18"/>
                <w:szCs w:val="18"/>
              </w:rPr>
              <w:t>呋喹替尼</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结直肠癌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呋喹替尼是具有高度选择性的肿瘤血管生成抑制剂，适用于既往接受过氟尿嘧啶类、奥沙利铂和伊立替康为基础的化疗，以及既往接受过或不适合接受抗血管内皮生长因子(VEGF)治疗、抗表皮生长因子受体(EGFR)治疗(RAS野生型)的转移性结直肠癌(mCRC)患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呋喹替尼是一具有高度选择性的肿瘤血管生成抑制剂，其主要作用靶点是VEGFR激酶家族VEGFR1，2及3。呋喹替尼在分子水平可抑制VEGFR激酶的活性；在细胞水平上可抑制VEGFR2/3的磷酸化，抑制内皮细胞的增殖及管腔形成；在组织水平上，呋喹替尼可明显抑制鸡胚绒毛尿囊膜模型新生微血管的形成；在整体动物水平上，呋喹替尼口服后可抑制VEGFR2/3磷酸化，抑制肿瘤血管生成，从而抑制肿瘤生长。在整体动物上，呋喹替尼采用一日一次给药，对结直肠癌以及其它多种类型肿瘤模型的生长均显示强效且剂量依赖性的抑制效应，在敏感模型上发现肿瘤缩小和消退。</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Regorafenib</w:t>
            </w:r>
          </w:p>
          <w:p>
            <w:pPr>
              <w:spacing w:before="60" w:after="60"/>
              <w:jc w:val="center"/>
              <w:rPr>
                <w:rFonts w:hAnsi="等线"/>
                <w:color w:val="000000"/>
                <w:sz w:val="18"/>
                <w:szCs w:val="18"/>
              </w:rPr>
            </w:pPr>
            <w:r>
              <w:rPr>
                <w:rFonts w:hint="eastAsia" w:hAnsi="等线"/>
                <w:color w:val="000000"/>
                <w:sz w:val="18"/>
                <w:szCs w:val="18"/>
              </w:rPr>
              <w:t>瑞戈非尼</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结直肠癌、胃肠道间质瘤、肝细胞癌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STIVARGA是一种激酶抑制剂，其适应症为：1.既往接受过氟嘧啶、奥沙利铂和伊立替康为基础化疗、抗VEGF治疗、以及抗EGFR治疗(如果是RAS野生型时)的转移性结直肠癌(CRC)。2.既往接受过甲磺酸伊马替尼和苹果酸舒尼替尼治疗的局部晚期、不可切除性或转移性胃肠道间质瘤(GIST)。3.既往接受过索拉非尼治疗的肝细胞癌(HCC)。</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瑞戈非尼（Regorafenib）是一种小分子抑制剂，靶向多种与细胞膜结合的激酶以及细胞内激酶，这些激酶参与正常的细胞功能和病理过程，例如肿瘤发生、肿瘤血管生成、转移和肿瘤免疫。在体外生化或细胞试验中，瑞戈非尼（Regorafenib）或其主要人类活性代谢产物M-2和M-5可在临床浓度下抑制RET、VEGFR1、VEGFR2、VEGFR3、KIT、PDGFR-α、PDGFR-β、FGFR1、FGFR2、TIE2、DDR2、TrkA、Eph2A、RAF-1、BRAF、BRAF V600E、SAPK2、PTK5、Abl和CSF1R的活性。瑞戈非尼（Regorafenib）在大鼠体内肿瘤模型中显示出抗血管生成活性，并在几种小鼠异种移植瘤模型（包括某些人结直肠癌、胃肠道间质癌和肝细胞癌）中显示出对肿瘤生长的抑制作用。瑞戈非尼（Regorafenib）还在小鼠异种移植模型和人结直肠癌的两个小鼠原位模型中证实了抗转移活性。</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Entrectinib</w:t>
            </w:r>
          </w:p>
          <w:p>
            <w:pPr>
              <w:spacing w:before="60" w:after="60"/>
              <w:jc w:val="center"/>
              <w:rPr>
                <w:rFonts w:hAnsi="等线"/>
                <w:color w:val="000000"/>
                <w:sz w:val="18"/>
                <w:szCs w:val="18"/>
              </w:rPr>
            </w:pPr>
            <w:r>
              <w:rPr>
                <w:rFonts w:hint="eastAsia" w:hAnsi="等线"/>
                <w:color w:val="000000"/>
                <w:sz w:val="18"/>
                <w:szCs w:val="18"/>
              </w:rPr>
              <w:t>恩曲替尼</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非小细胞肺癌、实体瘤</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恩曲替尼是一种激酶抑制剂，其适应症为：1.ROS1阳性的转移性非小细胞肺癌(NSCLC)成人患者。2.神经营养性酪氨酸受体激酶(NTRK)基因融合阳性、无已知的获得性耐药突变、转移性或手术切除可能导致严重发病率、且治疗后进展或没有令人满意的替代疗法的成人和儿童(≥12岁)实体瘤患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恩曲替尼（Entrectinib）是一种靶向原肌球蛋白受体酪氨酸激酶（TRK）TRKA，TRKB和TRKC（分别由神经营养酪氨酸受体激酶[NTRK]基因NTRK1、NTRK2和NTRK3编码），由原癌基因编码的酪氨酸蛋白激酶ROS1（ROS1），以及间变性淋巴瘤激酶（ALK）的抑制剂，其IC50值为0.1至2 nM。恩曲替尼（Entrectinib）还可以抑制JAK2和TNK2的活性，IC50值</w:t>
            </w:r>
            <w:r>
              <w:rPr>
                <w:rFonts w:hint="eastAsia" w:hAnsi="等线"/>
                <w:color w:val="000000"/>
                <w:sz w:val="18"/>
                <w:szCs w:val="18"/>
                <w:lang w:val="en-US" w:eastAsia="zh-CN"/>
              </w:rPr>
              <w:t>＞</w:t>
            </w:r>
            <w:r>
              <w:rPr>
                <w:rFonts w:hint="eastAsia" w:hAnsi="等线"/>
                <w:color w:val="000000"/>
                <w:sz w:val="18"/>
                <w:szCs w:val="18"/>
              </w:rPr>
              <w:t>5 nM。恩曲替尼（Entrectinib）的主要活性代谢产物M5对TRK、ROS1和ALK的体外活性相似。包含TRK、ROS1或ALK激酶结构域的融合蛋白可以过度激活下游信号传导通路，导致细胞增殖不受限制，凭此驱动致癌潜力。恩曲替尼（Entrectinib）在体外和体内试验中都显示出对携带NTRK、ROS1和ALK融合基因的多种肿瘤类型的癌细胞系具有抑制作用。恩曲替尼（Entrectinib）在多种动物模型（小鼠、大鼠和狗）中的稳态脑血药物浓度比值为0.4-2.2，并且在颅内植入TRKA和ALK驱动肿瘤细胞系的小鼠体内表现出抗肿瘤活性。</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Larotrectinib</w:t>
            </w:r>
          </w:p>
          <w:p>
            <w:pPr>
              <w:spacing w:before="60" w:after="60"/>
              <w:jc w:val="center"/>
              <w:rPr>
                <w:rFonts w:hAnsi="等线"/>
                <w:color w:val="000000"/>
                <w:sz w:val="18"/>
                <w:szCs w:val="18"/>
              </w:rPr>
            </w:pPr>
            <w:r>
              <w:rPr>
                <w:rFonts w:hint="eastAsia" w:hAnsi="等线"/>
                <w:color w:val="000000"/>
                <w:sz w:val="18"/>
                <w:szCs w:val="18"/>
              </w:rPr>
              <w:t>拉罗替尼</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实体瘤</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VITRAKVI是一种激酶抑制剂，适用于神经营养性酪氨酸受体激酶(NTRK)基因融合阳性、无已知的获得性耐药突变、转移性或手术切除可能导致严重发病率、且没有令人满意的替代疗法或治疗后进展的成人和儿童实体瘤患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拉罗替尼（Larotrectinib）是原肌球蛋白受体激酶（TRK）A/B/C抑制剂。在一项广泛的纯化酶检测中，拉罗替尼（Larotrectinib）抑制TRKA，TRKB和TRKC，IC50值为5-11 nM。另一种激酶TNK2在大约100倍的浓度下被抑制。TRKA/B/C分别由NTRK1/2/3基因编码。这些基因与各种伴侣基因框内融合导致的染色体重排可以产生组成性激活的嵌合TRK融合蛋白，其可以作为致癌驱动剂，促进肿瘤细胞系的细胞增殖和存活。在体外试验和体内肿瘤模型中，拉罗替尼（Larotrectinib）在由基因融合、蛋白调节结构域缺失或细胞过表达TRK蛋白所产生的TRK蛋白组成性激活细胞中显示出抗肿瘤活性。拉罗替尼（Larotrectinib）在TRKA激酶结构域中发生点突变的细胞系中具有最小的活性，包括临床鉴定的获得性抗性突变G595R。临床已鉴定的TRKC激酶结构域中的拉罗替尼（Larotrectinib）获得性抗性点突变包括G623R、G696A和F617L。</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Trametinib</w:t>
            </w:r>
            <w:r>
              <w:rPr>
                <w:rFonts w:hint="eastAsia" w:hAnsi="等线"/>
                <w:color w:val="000000"/>
                <w:sz w:val="18"/>
                <w:szCs w:val="18"/>
              </w:rPr>
              <w:br w:type="textWrapping"/>
            </w:r>
            <w:r>
              <w:rPr>
                <w:rFonts w:hint="eastAsia" w:hAnsi="等线"/>
                <w:color w:val="000000"/>
                <w:sz w:val="18"/>
                <w:szCs w:val="18"/>
              </w:rPr>
              <w:t>曲美替尼</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黑色素瘤、非小细胞肺癌、甲状腺癌、实体瘤，胶质瘤</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MEKINIST是一种激酶抑制剂，其适应症为：1.单药用于治疗携带BRAF V600E或V600K突变的不可切除性或转移性黑色素瘤。2.联合达拉菲尼用于：(1)携带BRAF V600E或V600K突变的不可切除性或转移性黑色素瘤。(2)携带BRAF V600E或V600K突变且完全切除后累及淋巴结的黑色素瘤患者的辅助治疗。(3)携带BRAF V600E突变的转移性非小细胞肺癌(NSCLC)。(4)没有令人满意的局部区域治疗选择的BRAF V600E突变的局部晚期或转移性间变性甲状腺癌(ATC)。(5)携带BRAF V600E突变的不可切除或转移性实体瘤成人和6岁及以上的儿童患者的治疗，且这些患者在之前的治疗后进展，没有满意的替代治疗方案。（6）需要接受系统治疗并携带BRAF V600E突变的低级别胶质瘤( LGG )患者（1岁及以上）。</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曲美替尼（Trametinib）是有丝分裂原激活的细胞外信号调节激酶1（MEK1）和MEK2激活以及MEK1和MEK2激酶活性的可逆抑制剂。MEK蛋白是细胞外信号相关激酶（ERK）途径的上游调控因子，可促进细胞增殖。BRAF V600E突变导致包括MEK1和MEK2在内的BRAF途径的组成性激活。曲美替尼（Trametinib）在体外和体内抑制各种BRAF V600突变阳性肿瘤细胞的生长。曲美替尼（Trametinib）和达拉非尼（Dabrafenib）靶向RAS/RAF/MEK/ERK通路中的两种不同激酶。与单独使用这两种药物相比，曲美替尼（Trametinib）和达拉非尼（Dabrafenib）联合用药可加强对BRAF V600突变阳性肿瘤细胞系生长的抑制作用，并延长对BRAF V600突变阳性肿瘤异种移植物肿瘤生长的抑制作用。</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Selpercatinib</w:t>
            </w:r>
          </w:p>
        </w:tc>
        <w:tc>
          <w:tcPr>
            <w:tcW w:w="792" w:type="pct"/>
            <w:gridSpan w:val="2"/>
            <w:tcBorders>
              <w:tl2br w:val="nil"/>
              <w:tr2bl w:val="nil"/>
            </w:tcBorders>
            <w:shd w:val="clear" w:color="auto" w:fill="FFFFFF"/>
            <w:vAlign w:val="center"/>
          </w:tcPr>
          <w:p>
            <w:pPr>
              <w:spacing w:before="60" w:after="60"/>
              <w:jc w:val="center"/>
              <w:rPr>
                <w:rFonts w:hint="eastAsia" w:hAnsi="等线"/>
                <w:color w:val="000000"/>
                <w:sz w:val="18"/>
                <w:szCs w:val="18"/>
              </w:rPr>
            </w:pPr>
            <w:r>
              <w:rPr>
                <w:rFonts w:hint="eastAsia" w:hAnsi="等线"/>
                <w:color w:val="000000"/>
                <w:sz w:val="18"/>
                <w:szCs w:val="18"/>
              </w:rPr>
              <w:t>非小细胞肺癌、甲状腺癌、实体瘤</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lang w:eastAsia="zh-CN"/>
              </w:rPr>
            </w:pPr>
            <w:r>
              <w:rPr>
                <w:rFonts w:hint="eastAsia" w:hAnsi="等线"/>
                <w:color w:val="000000"/>
                <w:sz w:val="18"/>
                <w:szCs w:val="18"/>
              </w:rPr>
              <w:t>RETEVMO是一种激酶抑制剂，其适应症为：1.转移性RET融合阳性非小细胞肺癌(NSCLC)成人患者。2.需要系统治疗的晚期或转移性RET突变型甲状腺髓样癌(MTC)成人和儿童(≥12岁)患者。3.需要系统治疗且放射性碘难治性(如果需要放射性碘)的晚期或转移性RET融合阳性甲状腺癌成人和儿童(≥12岁)患者。4.携带RET融合的转移性实体瘤患者，且在之前的系统性治疗后疾病进展，或者没有令人满意的治疗替代方案</w:t>
            </w:r>
            <w:r>
              <w:rPr>
                <w:rFonts w:hint="eastAsia" w:hAnsi="等线"/>
                <w:color w:val="000000"/>
                <w:sz w:val="18"/>
                <w:szCs w:val="18"/>
                <w:lang w:eastAsia="zh-CN"/>
              </w:rPr>
              <w:t>。</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Selpercatinib是一种激酶抑制剂。Selpercatinib可抑制野生型RET和多种突变的RET亚型以及VEGFR1和VEGFR3，IC50值在0.92 nM至67.8 nM之间。在其他酶分析中，Selpercatinib还可以在临床上仍可达到的更高浓度下抑制FGFR1、2和3的活性。在细胞试验中，Selperctinib抑制RET的浓度比FGFR1和2低约60倍，比VEGFR3低约8倍。RET的某些点突变或RET与各种伴侣基因框内融合导致的染色体重排可产生组成性激活的嵌合RET融合蛋白，其可充当致癌驱动因子，促进肿瘤细胞系的增殖。在体外试验和体内肿瘤模型中，Selperctinib在由基因融合和突变（包括CCDC6-RET、KIF5B-RET、RET V804M和RET M918T）产生的RET蛋白组成性激活细胞中表现出抗肿瘤活性。此外，Selperctinib在颅内移植患者源性RET融合阳性肿瘤的小鼠中也显示出抗肿瘤活性。</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Adagrasib</w:t>
            </w:r>
          </w:p>
          <w:p>
            <w:pPr>
              <w:spacing w:before="60" w:after="60"/>
              <w:jc w:val="center"/>
              <w:rPr>
                <w:rFonts w:hAnsi="等线"/>
                <w:color w:val="000000"/>
                <w:sz w:val="18"/>
                <w:szCs w:val="18"/>
              </w:rPr>
            </w:pPr>
            <w:r>
              <w:rPr>
                <w:rFonts w:hint="eastAsia" w:hAnsi="等线"/>
                <w:color w:val="000000"/>
                <w:sz w:val="18"/>
                <w:szCs w:val="18"/>
              </w:rPr>
              <w:t>阿达格拉西布</w:t>
            </w:r>
          </w:p>
        </w:tc>
        <w:tc>
          <w:tcPr>
            <w:tcW w:w="792" w:type="pct"/>
            <w:gridSpan w:val="2"/>
            <w:tcBorders>
              <w:tl2br w:val="nil"/>
              <w:tr2bl w:val="nil"/>
            </w:tcBorders>
            <w:shd w:val="clear" w:color="auto" w:fill="FFFFFF"/>
            <w:vAlign w:val="center"/>
          </w:tcPr>
          <w:p>
            <w:pPr>
              <w:spacing w:before="60" w:after="60"/>
              <w:jc w:val="center"/>
              <w:rPr>
                <w:rFonts w:hint="eastAsia" w:hAnsi="等线"/>
                <w:color w:val="000000"/>
                <w:sz w:val="18"/>
                <w:szCs w:val="18"/>
              </w:rPr>
            </w:pPr>
            <w:r>
              <w:rPr>
                <w:rFonts w:hint="eastAsia" w:hAnsi="等线"/>
                <w:color w:val="000000"/>
                <w:sz w:val="18"/>
                <w:szCs w:val="18"/>
              </w:rPr>
              <w:t>非小细胞肺癌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lang w:eastAsia="zh-CN"/>
              </w:rPr>
            </w:pPr>
            <w:r>
              <w:rPr>
                <w:rFonts w:hint="eastAsia" w:hAnsi="等线"/>
                <w:color w:val="000000"/>
                <w:sz w:val="18"/>
                <w:szCs w:val="18"/>
              </w:rPr>
              <w:t>KRAZATI是RAS GTPase家族的抑制剂，用于治疗FDA批准的KRAS G12C突变的局部晚期或转移性非小细胞肺癌的成人患者</w:t>
            </w:r>
            <w:r>
              <w:rPr>
                <w:rFonts w:hint="eastAsia" w:hAnsi="等线"/>
                <w:color w:val="000000"/>
                <w:sz w:val="18"/>
                <w:szCs w:val="18"/>
                <w:lang w:eastAsia="zh-CN"/>
              </w:rPr>
              <w:t>。</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lang w:eastAsia="zh-CN"/>
              </w:rPr>
            </w:pPr>
            <w:r>
              <w:rPr>
                <w:rFonts w:hint="eastAsia" w:hAnsi="等线"/>
                <w:color w:val="000000"/>
                <w:sz w:val="18"/>
                <w:szCs w:val="18"/>
                <w:lang w:eastAsia="zh-CN"/>
              </w:rPr>
              <w:t>Adagrasib是KRAS G12C的一种不可逆抑制剂，它与KRAS G12C中的突变半胱氨酸共价结合，并将突变KRAS蛋白锁定在其非活性状态，从而阻止下游信号传导，而不影响野生型KRAS蛋白。Adagrasib抑制KRAS G12C突变细胞的肿瘤细胞生长和活力，并在KRAS G12C突变的肿瘤异种移植模型中以最小的脱靶活性导致肿瘤消退。</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Dabrafenib</w:t>
            </w:r>
            <w:r>
              <w:rPr>
                <w:rFonts w:hint="eastAsia" w:hAnsi="等线"/>
                <w:color w:val="000000"/>
                <w:sz w:val="18"/>
                <w:szCs w:val="18"/>
              </w:rPr>
              <w:br w:type="textWrapping"/>
            </w:r>
            <w:r>
              <w:rPr>
                <w:rFonts w:hint="eastAsia" w:hAnsi="等线"/>
                <w:color w:val="000000"/>
                <w:sz w:val="18"/>
                <w:szCs w:val="18"/>
              </w:rPr>
              <w:t>达拉非尼</w:t>
            </w:r>
          </w:p>
        </w:tc>
        <w:tc>
          <w:tcPr>
            <w:tcW w:w="792" w:type="pct"/>
            <w:gridSpan w:val="2"/>
            <w:tcBorders>
              <w:tl2br w:val="nil"/>
              <w:tr2bl w:val="nil"/>
            </w:tcBorders>
            <w:shd w:val="clear" w:color="auto" w:fill="FFFFFF"/>
            <w:vAlign w:val="center"/>
          </w:tcPr>
          <w:p>
            <w:pPr>
              <w:spacing w:before="60" w:after="60"/>
              <w:jc w:val="center"/>
              <w:rPr>
                <w:rFonts w:hint="eastAsia" w:hAnsi="等线"/>
                <w:color w:val="000000"/>
                <w:sz w:val="18"/>
                <w:szCs w:val="18"/>
              </w:rPr>
            </w:pPr>
            <w:r>
              <w:rPr>
                <w:rFonts w:hint="eastAsia" w:hAnsi="等线"/>
                <w:color w:val="000000"/>
                <w:sz w:val="18"/>
                <w:szCs w:val="18"/>
              </w:rPr>
              <w:t>黑色素瘤、非小细胞肺癌、甲状腺癌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TAFINLAR是一种激酶抑制剂，其适应症为：1.单药用于治疗BRAF V600E突变的不可切除性或转移性黑色素瘤。2.联合曲美替尼用于：(1)BRAF V600E或V600K突变的不可切除性或转移性黑色素瘤。(2)BRAF V600E或V600K突变、手术切除后累及淋巴结的黑色素瘤的辅助治疗。(3)BRAF V600E突变的转移性非小细胞肺癌(NSCLC)。(4)BRAF V600E突变且没有令人满意的局部治疗选择的局部晚期或转移性间变性甲状腺癌(ATC)。（5）适用于携带BRAF V600突变的不可切除或转移性6岁及以上的成人和儿童实体瘤患者，且这些患者在之前的治疗后进展且没有合适的替代治疗方案。(6)携带BRAF V600E突变需要全身治疗的儿童（1岁及以上)胶质瘤患者 备注：BRAF抑制具有耐药性，因此TAFINLAR不用于结直肠癌患者的治疗，TAFINLAR也不适用于野生型BRAF实体瘤的治疗。使用限制:TAFINLAR不用于结直肠癌患者的治疗，因为已知的BRAF抑制内在耐药。TAFINLAR不适用于野生型BRAF实体瘤的治疗</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达拉菲尼(Dabrafenib)是一种靶向抑制剂，对一些BRAF突变如BRAF V600E、V600K和V600D的体外IC50值分别为0.65、0.5和1.84nM。达拉菲尼(Dabrafenib)也可以抑制野生型BRAF和CRAF激酶活性，IC50值分别为3.2和5.0nM，在更高浓度下还可以抑制其他激酶，如SIK1、NEK11和LIMK1。BRAF基因的一些突变，例如BRAF V600E突变，可以导致BRAF激酶的组成性激活，从而刺激肿瘤细胞的生长。无论是在体外还是在体内研究中，达拉菲尼(Dabrafenib)都可以抑制各种BRAF V600突变阳性肿瘤细胞的生长。达拉菲尼(Dabrafenib)和曲美替尼(Trametinib)靶向RAS/RAF/MEK/ERK通路的两种不同激酶。与单独使用两种药物相比，达拉菲尼(Dabrafenib)和曲美替尼(Trametinib)联合使用可增强对BRAF V600突变阳性肿瘤细胞系的生长抑制效果，并延长对BRAF V600突变阳性肿瘤异种移植模型的生长抑制作用。</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Sorafenib</w:t>
            </w:r>
          </w:p>
          <w:p>
            <w:pPr>
              <w:spacing w:before="60" w:after="60"/>
              <w:jc w:val="center"/>
              <w:rPr>
                <w:rFonts w:hAnsi="等线"/>
                <w:color w:val="000000"/>
                <w:sz w:val="18"/>
                <w:szCs w:val="18"/>
              </w:rPr>
            </w:pPr>
            <w:r>
              <w:rPr>
                <w:rFonts w:hint="eastAsia" w:hAnsi="等线"/>
                <w:color w:val="000000"/>
                <w:sz w:val="18"/>
                <w:szCs w:val="18"/>
              </w:rPr>
              <w:t>索拉非尼</w:t>
            </w:r>
          </w:p>
        </w:tc>
        <w:tc>
          <w:tcPr>
            <w:tcW w:w="792" w:type="pct"/>
            <w:gridSpan w:val="2"/>
            <w:tcBorders>
              <w:tl2br w:val="nil"/>
              <w:tr2bl w:val="nil"/>
            </w:tcBorders>
            <w:shd w:val="clear" w:color="auto" w:fill="FFFFFF"/>
            <w:vAlign w:val="center"/>
          </w:tcPr>
          <w:p>
            <w:pPr>
              <w:spacing w:before="60" w:after="60"/>
              <w:jc w:val="center"/>
              <w:rPr>
                <w:rFonts w:hint="eastAsia" w:hAnsi="等线"/>
                <w:color w:val="000000"/>
                <w:sz w:val="18"/>
                <w:szCs w:val="18"/>
              </w:rPr>
            </w:pPr>
            <w:r>
              <w:rPr>
                <w:rFonts w:hint="eastAsia" w:hAnsi="等线"/>
                <w:color w:val="000000"/>
                <w:sz w:val="18"/>
                <w:szCs w:val="18"/>
              </w:rPr>
              <w:t>肝癌</w:t>
            </w:r>
            <w:r>
              <w:rPr>
                <w:rFonts w:hint="eastAsia" w:hAnsi="等线"/>
                <w:color w:val="000000"/>
                <w:sz w:val="18"/>
                <w:szCs w:val="18"/>
                <w:lang w:eastAsia="zh-CN"/>
              </w:rPr>
              <w:t>、</w:t>
            </w:r>
            <w:r>
              <w:rPr>
                <w:rFonts w:hint="eastAsia" w:hAnsi="等线"/>
                <w:color w:val="000000"/>
                <w:sz w:val="18"/>
                <w:szCs w:val="18"/>
              </w:rPr>
              <w:t>肾癌</w:t>
            </w:r>
            <w:r>
              <w:rPr>
                <w:rFonts w:hint="eastAsia" w:hAnsi="等线"/>
                <w:color w:val="000000"/>
                <w:sz w:val="18"/>
                <w:szCs w:val="18"/>
                <w:lang w:eastAsia="zh-CN"/>
              </w:rPr>
              <w:t>、</w:t>
            </w:r>
            <w:r>
              <w:rPr>
                <w:rFonts w:hint="eastAsia" w:hAnsi="等线"/>
                <w:color w:val="000000"/>
                <w:sz w:val="18"/>
                <w:szCs w:val="18"/>
              </w:rPr>
              <w:t>甲状腺癌</w:t>
            </w:r>
          </w:p>
        </w:tc>
        <w:tc>
          <w:tcPr>
            <w:tcW w:w="3227" w:type="pct"/>
            <w:gridSpan w:val="3"/>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Nexavar是一种激酶抑制剂，其适应症为：1.不可切除的肝细胞癌。2.晚期肾细胞癌。3.对放射性碘治疗无效的局部复发或转移性、进行性、分化型甲状腺癌(DTC)。</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索拉非尼是一种激酶抑制剂，可在体外降低肿瘤细胞增殖。索拉非尼可抑制多种细胞内（c-CRAF、BRAF和突变BRAF）和细胞表面激酶（KIT、FLT-3、RET、RET/PTC、VEGFR-1、VEGFR-2、VEGFR-3和PDGFR-ß）的活性。其中一些激酶被认为与肿瘤细胞信号传导、血管生成和凋亡有关。索拉非尼抑制免疫功能低下小鼠中HCC、RCC和DTC人源肿瘤异种移植物的肿瘤生长。索拉非尼治疗后，HCC和RCC模型的肿瘤血管生成减少，HCC、RCC和DTC模型的肿瘤凋亡增加。</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Vemurafenib</w:t>
            </w:r>
          </w:p>
          <w:p>
            <w:pPr>
              <w:spacing w:before="60" w:after="60"/>
              <w:jc w:val="center"/>
              <w:rPr>
                <w:rFonts w:hAnsi="等线"/>
                <w:color w:val="000000"/>
                <w:sz w:val="18"/>
                <w:szCs w:val="18"/>
              </w:rPr>
            </w:pPr>
            <w:r>
              <w:rPr>
                <w:rFonts w:hint="eastAsia" w:hAnsi="等线"/>
                <w:color w:val="000000"/>
                <w:sz w:val="18"/>
                <w:szCs w:val="18"/>
              </w:rPr>
              <w:t>维莫非尼</w:t>
            </w:r>
          </w:p>
        </w:tc>
        <w:tc>
          <w:tcPr>
            <w:tcW w:w="792" w:type="pct"/>
            <w:gridSpan w:val="2"/>
            <w:tcBorders>
              <w:tl2br w:val="nil"/>
              <w:tr2bl w:val="nil"/>
            </w:tcBorders>
            <w:shd w:val="clear" w:color="auto" w:fill="FFFFFF"/>
            <w:vAlign w:val="center"/>
          </w:tcPr>
          <w:p>
            <w:pPr>
              <w:spacing w:before="60" w:after="60"/>
              <w:jc w:val="center"/>
              <w:rPr>
                <w:rFonts w:hint="eastAsia" w:hAnsi="等线"/>
                <w:color w:val="000000"/>
                <w:sz w:val="18"/>
                <w:szCs w:val="18"/>
              </w:rPr>
            </w:pPr>
            <w:r>
              <w:rPr>
                <w:rFonts w:hint="eastAsia" w:hAnsi="等线"/>
                <w:color w:val="000000"/>
                <w:sz w:val="18"/>
                <w:szCs w:val="18"/>
              </w:rPr>
              <w:t>黑色素瘤、Erdheim-Chester病</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ZELBORAF是一种激酶抑制剂，其适应症为：1.携带BRAF V600E突变的不可切除性或转移性黑色素瘤。2.携带BRAF V600突变的Erdheim-Chester病。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维罗非尼（Vemurafenib）是一种低分子量、口服可吸收的BRAF丝氨酸-苏氨酸激酶突变体（包括BRAF V600E）抑制剂。维罗非尼（Vemurafenib）还可以在体外以相似的浓度抑制其他激酶活性，如CRAF、ARAF、野生型BRAF、SRMS、ACK1、MAP4K5和FGR。包括V600E在内的BRAF基因突变会导致BRAF蛋白被组成性激活，从而在缺乏生长因子（通常在细胞增殖中必需）的情况下引起细胞增殖。维罗非尼（Vemurafenib）在BRAF V600E突变黑素瘤的细胞和动物模型中具有抗肿瘤作用。</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Cabozantinib</w:t>
            </w:r>
          </w:p>
          <w:p>
            <w:pPr>
              <w:spacing w:before="60" w:after="60"/>
              <w:jc w:val="center"/>
              <w:rPr>
                <w:rFonts w:hAnsi="等线"/>
                <w:color w:val="000000"/>
                <w:sz w:val="18"/>
                <w:szCs w:val="18"/>
              </w:rPr>
            </w:pPr>
            <w:r>
              <w:rPr>
                <w:rFonts w:hint="eastAsia" w:hAnsi="等线"/>
                <w:color w:val="000000"/>
                <w:sz w:val="18"/>
                <w:szCs w:val="18"/>
              </w:rPr>
              <w:t>卡博替尼</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肾癌、肝癌、甲状腺癌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COMETRIQ是一种激酶抑制剂，其适应症为：1. 晚期肾癌( RCC )患者。2. 联合纳武单抗进行晚期肾癌的一线治疗。3.既往曾使用索拉非尼的肝细胞癌( HCC )患者。 4. 既往接受过VEGFR靶向治疗的进展期放射性碘难治性局部晚期或转移性分化型甲状腺癌( DTC )的（年龄12岁以上）的成人和儿童患者。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体外生化和/或细胞分析研究表明，卡博替尼(Cabozantinib)抑制RET、MET、VEGFR-1、VEGFR-2和VEGFR-3、KIT、TRKB、FLT-3、AXL、ROS1、TYRO3、MER和TIE-2的酪氨酸激酶活性。这些酪氨酸激酶受体涉及参与调控细胞正常功能和病理进程（如肿瘤发生、转移、肿瘤血管生成、耐药发生和肿瘤微环境维持）。</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Lapatinib</w:t>
            </w:r>
          </w:p>
          <w:p>
            <w:pPr>
              <w:spacing w:before="60" w:after="60"/>
              <w:jc w:val="center"/>
              <w:rPr>
                <w:rFonts w:hAnsi="等线"/>
                <w:color w:val="000000"/>
                <w:sz w:val="18"/>
                <w:szCs w:val="18"/>
              </w:rPr>
            </w:pPr>
            <w:r>
              <w:rPr>
                <w:rFonts w:hint="eastAsia" w:hAnsi="等线"/>
                <w:color w:val="000000"/>
                <w:sz w:val="18"/>
                <w:szCs w:val="18"/>
              </w:rPr>
              <w:t>拉帕替尼</w:t>
            </w:r>
          </w:p>
        </w:tc>
        <w:tc>
          <w:tcPr>
            <w:tcW w:w="792" w:type="pct"/>
            <w:gridSpan w:val="2"/>
            <w:tcBorders>
              <w:tl2br w:val="nil"/>
              <w:tr2bl w:val="nil"/>
            </w:tcBorders>
            <w:shd w:val="clear" w:color="auto" w:fill="FFFFFF"/>
            <w:vAlign w:val="center"/>
          </w:tcPr>
          <w:p>
            <w:pPr>
              <w:spacing w:before="60" w:after="60"/>
              <w:jc w:val="center"/>
              <w:rPr>
                <w:rFonts w:hint="eastAsia" w:hAnsi="等线"/>
                <w:color w:val="000000"/>
                <w:sz w:val="18"/>
                <w:szCs w:val="18"/>
              </w:rPr>
            </w:pPr>
            <w:r>
              <w:rPr>
                <w:rFonts w:hint="eastAsia" w:hAnsi="等线"/>
                <w:color w:val="000000"/>
                <w:sz w:val="18"/>
                <w:szCs w:val="18"/>
              </w:rPr>
              <w:t>乳腺癌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TYKERB是一种激酶抑制剂，其适应症为：1.联合卡培他滨用于治疗过表达人表皮生长因子受体2(HER2)并且既往接受过蒽环类、紫杉类和曲妥珠单抗等治疗的晚期或转移性乳腺癌。2.联合来曲唑用于治疗过表达HER2受体适用激素治疗的绝经后妇女激素受体阳性转移性乳腺癌。</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拉帕替尼（Lapatinib）是一种4-苯胺喹唑啉类抑制剂，可抑制人表皮生长因子受体（EGFR [ErbB1]）和人表皮生长因子受体2（HER2 [ErbB2]）的胞内酪氨酸激酶结构域活性（预估Kiapp值分别为3 nM和13 nM），消除半衰期大于或等于300分钟。拉帕替尼（Lapatinib）可在体外和各种动物模型中抑制ErbB驱动的肿瘤细胞生长。在一项体外研究的4种受试肿瘤细胞系中，拉帕替尼（Lapatinib）和 5-FU（卡培他滨的活性代谢物）联合用药显示出相加作用。在对曲妥珠单抗（Trastuzumab）耐受的细胞系中拉帕替尼（Lapatinib）的生长抑制作用已得到评估。拉帕替尼（Lapatinib）对于可在含曲妥珠单抗（Trastuzumab）培养基中长期生长的乳腺癌细胞系也保持显著活性。这些体外研究表明，这两种药物之间没有交叉耐药性。共表达HER2的激素受体阳性乳腺癌细胞（如雌激素受体[ER]和/或孕激素受体[PgR]）易对内分泌治疗产生耐受。同样，激素受体阳性乳腺癌细胞缺乏EGFR或HER2时会上调这些受体蛋白表达，使肿瘤对内分泌治疗耐受。</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bookmarkStart w:id="101" w:name="OLE_LINK1"/>
            <w:r>
              <w:rPr>
                <w:rFonts w:hint="eastAsia" w:hAnsi="等线"/>
                <w:color w:val="000000"/>
                <w:sz w:val="18"/>
                <w:szCs w:val="18"/>
              </w:rPr>
              <w:t>Lenvatinib</w:t>
            </w:r>
          </w:p>
          <w:bookmarkEnd w:id="101"/>
          <w:p>
            <w:pPr>
              <w:spacing w:before="60" w:after="60"/>
              <w:jc w:val="center"/>
              <w:rPr>
                <w:rFonts w:hAnsi="等线"/>
                <w:color w:val="000000"/>
                <w:sz w:val="18"/>
                <w:szCs w:val="18"/>
              </w:rPr>
            </w:pPr>
            <w:r>
              <w:rPr>
                <w:rFonts w:hint="eastAsia" w:hAnsi="等线"/>
                <w:color w:val="000000"/>
                <w:sz w:val="18"/>
                <w:szCs w:val="18"/>
              </w:rPr>
              <w:t>仑伐替尼</w:t>
            </w:r>
          </w:p>
        </w:tc>
        <w:tc>
          <w:tcPr>
            <w:tcW w:w="792" w:type="pct"/>
            <w:gridSpan w:val="2"/>
            <w:tcBorders>
              <w:tl2br w:val="nil"/>
              <w:tr2bl w:val="nil"/>
            </w:tcBorders>
            <w:shd w:val="clear" w:color="auto" w:fill="FFFFFF"/>
            <w:vAlign w:val="center"/>
          </w:tcPr>
          <w:p>
            <w:pPr>
              <w:spacing w:before="60" w:after="60"/>
              <w:jc w:val="center"/>
              <w:rPr>
                <w:rFonts w:hint="eastAsia" w:hAnsi="等线"/>
                <w:color w:val="000000"/>
                <w:sz w:val="18"/>
                <w:szCs w:val="18"/>
              </w:rPr>
            </w:pPr>
            <w:r>
              <w:rPr>
                <w:rFonts w:hint="eastAsia" w:hAnsi="等线"/>
                <w:color w:val="000000"/>
                <w:sz w:val="18"/>
                <w:szCs w:val="18"/>
              </w:rPr>
              <w:t>甲状腺癌、肾细胞癌、肝细胞癌、子宫内膜癌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LENVIMA是一种激酶抑制剂，其适应症包括：1.局部复发或转移性、进展性、放射性碘难治性分化型甲状腺癌(DTC)。2.联合Pembrolizumab用于晚期肾细胞癌成人患者的一线治疗，或联合依维莫司用于治疗既往接受过抗血管生成药物治疗的晚期肾细胞癌(RCC)成人患者。3.不可切除性肝细胞癌(HCC)的一线治疗。4.联合帕博利珠单抗用于治疗正常错配修复或非微卫星高不稳定性(MSI-H)的在既往接受系统治疗后病情进展、且不适合根治性手术或放射治疗的晚期子宫内膜癌(EC)。</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仑伐替尼(Lenvatinib)是一种受体酪氨酸激酶(RTK)抑制剂，抑制血管内皮生长因子的激酶活性(VEGF)的受体VEGFR1(FLT1)，VEGFR2(KDR)，和VEGFR3(FLT4)。仑伐替尼(Lenvatinib)还能抑制除正常细胞功能外与致病性血管生成、肿瘤生长以及癌症进展相关的其它激酶，包括成纤维细胞生长因子(FGF)受体FGFR1、2、3和4；血小板衍生生长因子受体α(PDGFRα)、KIT和RET。仑伐替尼(Lenvatinib)在肝细胞癌细胞系中还表现出抗增殖活性,这取决于激活的FGFR信号传导,同时抑制FGF受体底物2α(FRS2α)磷酸化。在同系小鼠肿瘤模型中，与任何一种单独治疗相比，仑伐替尼(Lenvatinib)和抗PD-1单克隆抗体联用减少了与肿瘤相关的巨噬细胞，增加激活的细胞毒性T细胞，并表现出更强的抗肿瘤活性。仑伐替尼(Lenvatinib)与依维莫司(Everolimus)联合用药体外可抑制人内皮细胞增殖、血管形成、VEGF信号通路，体内可降低人肾细胞癌荷瘤小鼠的肿瘤体积，联合用药的抗血管生成与抗肿瘤活性大于单药使用。</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Selumetinib</w:t>
            </w:r>
          </w:p>
          <w:p>
            <w:pPr>
              <w:spacing w:before="60" w:after="60"/>
              <w:jc w:val="center"/>
              <w:rPr>
                <w:rFonts w:hAnsi="等线"/>
                <w:color w:val="000000"/>
                <w:sz w:val="18"/>
                <w:szCs w:val="18"/>
              </w:rPr>
            </w:pPr>
            <w:r>
              <w:rPr>
                <w:rFonts w:hint="eastAsia" w:hAnsi="等线"/>
                <w:color w:val="000000"/>
                <w:sz w:val="18"/>
                <w:szCs w:val="18"/>
              </w:rPr>
              <w:t>司美替尼</w:t>
            </w:r>
          </w:p>
        </w:tc>
        <w:tc>
          <w:tcPr>
            <w:tcW w:w="792" w:type="pct"/>
            <w:gridSpan w:val="2"/>
            <w:tcBorders>
              <w:tl2br w:val="nil"/>
              <w:tr2bl w:val="nil"/>
            </w:tcBorders>
            <w:shd w:val="clear" w:color="auto" w:fill="FFFFFF"/>
            <w:vAlign w:val="center"/>
          </w:tcPr>
          <w:p>
            <w:pPr>
              <w:spacing w:before="60" w:after="60"/>
              <w:jc w:val="center"/>
              <w:rPr>
                <w:rFonts w:hint="eastAsia" w:hAnsi="等线"/>
                <w:color w:val="000000"/>
                <w:sz w:val="18"/>
                <w:szCs w:val="18"/>
              </w:rPr>
            </w:pPr>
            <w:r>
              <w:rPr>
                <w:rFonts w:hint="eastAsia" w:hAnsi="等线"/>
                <w:color w:val="000000"/>
                <w:sz w:val="18"/>
                <w:szCs w:val="18"/>
              </w:rPr>
              <w:t>神经纤维瘤</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KOSELUGO是一种激酶抑制剂，适用于2岁及以上患有1型神经纤维瘤(NF1)、有症状的、不能手术的丛状神经纤维瘤(PN)的儿童患者。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Selumetinib是丝裂原活化蛋白激酶激酶1和2（MEK1/2）的抑制剂。MEK1/2蛋白是细胞外信号相关激酶（ERK）途径的上游调节因子。MEK和ERK都是RAS调节的RAF-MEK-ERK通路的关键组成部分，该通路通常在不同类型的癌症中被激活。在产生与人类NF1基因型和表型相似的神经纤维瘤的转基因NF1小鼠模型中，口服塞洛替尼抑制ERK磷酸化，并减少神经纤维瘤的数量、体积和增殖。</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Tucatinib</w:t>
            </w:r>
          </w:p>
          <w:p>
            <w:pPr>
              <w:spacing w:before="60" w:after="60"/>
              <w:jc w:val="center"/>
              <w:rPr>
                <w:rFonts w:hAnsi="等线"/>
                <w:color w:val="000000"/>
                <w:sz w:val="18"/>
                <w:szCs w:val="18"/>
              </w:rPr>
            </w:pPr>
            <w:r>
              <w:rPr>
                <w:rFonts w:hint="eastAsia" w:hAnsi="等线"/>
                <w:color w:val="000000"/>
                <w:sz w:val="18"/>
                <w:szCs w:val="18"/>
              </w:rPr>
              <w:t>妥卡替尼</w:t>
            </w:r>
          </w:p>
        </w:tc>
        <w:tc>
          <w:tcPr>
            <w:tcW w:w="792" w:type="pct"/>
            <w:gridSpan w:val="2"/>
            <w:tcBorders>
              <w:tl2br w:val="nil"/>
              <w:tr2bl w:val="nil"/>
            </w:tcBorders>
            <w:shd w:val="clear" w:color="auto" w:fill="FFFFFF"/>
            <w:vAlign w:val="center"/>
          </w:tcPr>
          <w:p>
            <w:pPr>
              <w:spacing w:before="60" w:after="60"/>
              <w:jc w:val="center"/>
              <w:rPr>
                <w:rFonts w:hint="eastAsia" w:hAnsi="等线"/>
                <w:color w:val="000000"/>
                <w:sz w:val="18"/>
                <w:szCs w:val="18"/>
              </w:rPr>
            </w:pPr>
            <w:r>
              <w:rPr>
                <w:rFonts w:hint="eastAsia" w:hAnsi="等线"/>
                <w:color w:val="000000"/>
                <w:sz w:val="18"/>
                <w:szCs w:val="18"/>
              </w:rPr>
              <w:t>乳腺癌</w:t>
            </w:r>
          </w:p>
        </w:tc>
        <w:tc>
          <w:tcPr>
            <w:tcW w:w="3227" w:type="pct"/>
            <w:gridSpan w:val="3"/>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TUKYSA是一种激酶抑制剂，其适应证为：1.联合曲妥珠单抗和卡培他滨治疗既往转移治疗中接受过一种或多种抗HER2治疗的晚期不可切除性或转移性HER2阳性乳腺癌成人患者，包括发生脑转移的患者。2.联合曲妥珠单抗治疗患者之前在氟嘧啶、奥沙利铂和伊立替康化疗治疗后进展的RAS野生型，HER2阳性不可切除或转移性结直肠癌患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Tucatinib是HER2的酪氨酸激酶抑制剂。 在体外试验中，Tucatinib能够抑制HER2和HER3磷酸化，从而抑制下游MAPK和AKT信号通路和细胞增殖，并且在表达HER2的肿瘤细胞中显示出抗肿瘤活性。在体内研究中，Tucatinib可以抑制表达HER2肿瘤的生长。与单独使用这两种药物相比，Tucatinib和曲妥珠单抗（Trastuzumab)联合在体外试验和体内研究中均表现出增强的抗肿瘤活性。</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Trastuzumab</w:t>
            </w:r>
          </w:p>
          <w:p>
            <w:pPr>
              <w:spacing w:before="60" w:after="60"/>
              <w:jc w:val="center"/>
              <w:rPr>
                <w:rFonts w:hAnsi="等线"/>
                <w:color w:val="000000"/>
                <w:sz w:val="18"/>
                <w:szCs w:val="18"/>
              </w:rPr>
            </w:pPr>
            <w:r>
              <w:rPr>
                <w:rFonts w:hint="eastAsia" w:hAnsi="等线"/>
                <w:color w:val="000000"/>
                <w:sz w:val="18"/>
                <w:szCs w:val="18"/>
              </w:rPr>
              <w:t>曲妥珠单抗</w:t>
            </w:r>
          </w:p>
        </w:tc>
        <w:tc>
          <w:tcPr>
            <w:tcW w:w="792" w:type="pct"/>
            <w:gridSpan w:val="2"/>
            <w:tcBorders>
              <w:tl2br w:val="nil"/>
              <w:tr2bl w:val="nil"/>
            </w:tcBorders>
            <w:shd w:val="clear" w:color="auto" w:fill="FFFFFF"/>
            <w:vAlign w:val="center"/>
          </w:tcPr>
          <w:p>
            <w:pPr>
              <w:spacing w:before="60" w:after="60"/>
              <w:jc w:val="center"/>
              <w:rPr>
                <w:rFonts w:hint="eastAsia" w:hAnsi="等线"/>
                <w:color w:val="000000"/>
                <w:sz w:val="18"/>
                <w:szCs w:val="18"/>
              </w:rPr>
            </w:pPr>
            <w:r>
              <w:rPr>
                <w:rFonts w:hint="eastAsia" w:hAnsi="等线"/>
                <w:color w:val="000000"/>
                <w:sz w:val="18"/>
                <w:szCs w:val="18"/>
              </w:rPr>
              <w:t>乳腺癌、胃癌、胃食管交界处腺癌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Herceptin是一种HER2/neu受体拮抗剂，其适应症为：1.HER2过表达的乳腺癌。2.HER2过表达的转移性胃或胃食管交界处腺癌。</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HER2（或c-erbB2）原癌基因编码一个185 kDa的跨膜受体蛋白，该蛋白在结构上与表皮生长因子受体有关。曲妥珠单抗/赫赛汀（Trastuzumab/Herceptin）在体外及动物实验中均显示出可抑制HER2过表达肿瘤细胞的增殖。曲妥珠单抗/赫赛汀（Trastuzumab/Herceptin）是抗体依赖性细胞毒性（ADCC）的介体。在体外研究中，与未过表达HER2的癌细胞相比，曲妥珠单抗/赫赛汀（Trastuzumab/Herceptin）介导的ADCC优先作用于过表达HER2的癌细胞。</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Fam-trastuzumab deruxtecan-nxki</w:t>
            </w:r>
          </w:p>
          <w:p>
            <w:pPr>
              <w:spacing w:before="60" w:after="60"/>
              <w:jc w:val="center"/>
              <w:rPr>
                <w:rFonts w:hint="default" w:hAnsi="等线" w:eastAsia="等线"/>
                <w:color w:val="000000"/>
                <w:sz w:val="18"/>
                <w:szCs w:val="18"/>
                <w:lang w:val="en-US" w:eastAsia="zh-CN"/>
              </w:rPr>
            </w:pPr>
            <w:r>
              <w:rPr>
                <w:rFonts w:hint="eastAsia" w:hAnsi="等线"/>
                <w:color w:val="000000"/>
                <w:sz w:val="18"/>
                <w:szCs w:val="18"/>
                <w:lang w:val="en-US" w:eastAsia="zh-CN"/>
              </w:rPr>
              <w:t>德曲妥珠单抗</w:t>
            </w:r>
          </w:p>
        </w:tc>
        <w:tc>
          <w:tcPr>
            <w:tcW w:w="792" w:type="pct"/>
            <w:gridSpan w:val="2"/>
            <w:tcBorders>
              <w:tl2br w:val="nil"/>
              <w:tr2bl w:val="nil"/>
            </w:tcBorders>
            <w:shd w:val="clear" w:color="auto" w:fill="FFFFFF"/>
            <w:vAlign w:val="center"/>
          </w:tcPr>
          <w:p>
            <w:pPr>
              <w:spacing w:before="60" w:after="60"/>
              <w:jc w:val="center"/>
              <w:rPr>
                <w:rFonts w:hint="eastAsia" w:hAnsi="等线"/>
                <w:color w:val="000000"/>
                <w:sz w:val="18"/>
                <w:szCs w:val="18"/>
              </w:rPr>
            </w:pPr>
            <w:r>
              <w:rPr>
                <w:rFonts w:hint="eastAsia" w:hAnsi="等线"/>
                <w:color w:val="000000"/>
                <w:sz w:val="18"/>
                <w:szCs w:val="18"/>
              </w:rPr>
              <w:t>乳腺癌、胃癌、胃食管交界处腺癌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ENHERTU是一种HER2靶向抗体和拓扑异构酶抑制剂偶联物，其适应症为：1.携带HER2阳性，前期已接受过以抗HER2为基础的治疗(转移性疾病治疗或新辅助/辅助治疗）并在完成治疗期间或6个月内出现疾病复发的不可切除性或转移性乳腺癌成人患者。2.FDA批准检测的HER2低表达(IHC 1+或IHC 2+/ISH-)且在疾病转移后接受过化疗或在完成辅助化疗期间或6个月内发生疾病转移或复发成年乳腺癌患者。3.携带HER2 (ERBB2)激活突变的不可切除或转移性非小细胞肺癌(NSCLC)成人患者。4.既往接受过基于曲妥珠单抗治疗的HER2阳性、局部进展或转移性胃或胃食管交界处腺癌的成人患者。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Fam-trastuzumab deruxtecan-nxki是一种HER2定向抗体药物偶联物。该抗体为人源化抗HER2 IgG1。小分子DXd是一种拓扑异构酶I抑制剂，通过可切割的接头与抗体相连。与肿瘤细胞上的HER2结合后，Fam-trastuzumab deruxtecan-nxki通过溶酶体酶进行内化和细胞内接头裂解。释放后，膜渗透性DXd会导致DNA损伤和细胞凋亡。</w:t>
            </w:r>
          </w:p>
        </w:tc>
      </w:tr>
    </w:tbl>
    <w:p>
      <w:r>
        <w:br w:type="page"/>
      </w:r>
    </w:p>
    <w:p>
      <w:pPr>
        <w:spacing w:before="340" w:line="360" w:lineRule="auto"/>
        <w:ind w:firstLine="600" w:firstLineChars="200"/>
        <w:jc w:val="left"/>
        <w:outlineLvl w:val="1"/>
        <w:rPr>
          <w:rFonts w:hAnsi="等线" w:cs="Arial"/>
          <w:b/>
          <w:bCs/>
          <w:color w:val="00B0F0"/>
          <w:sz w:val="30"/>
          <w:szCs w:val="30"/>
        </w:rPr>
      </w:pPr>
      <w:bookmarkStart w:id="102" w:name="肺癌多靶点药物"/>
      <w:bookmarkEnd w:id="102"/>
      <w:bookmarkStart w:id="103" w:name="遗传性肿瘤综合征介绍"/>
      <w:bookmarkEnd w:id="103"/>
      <w:bookmarkStart w:id="104" w:name="_Ref80371543"/>
      <w:bookmarkStart w:id="105" w:name="_Toc89103168"/>
      <w:bookmarkStart w:id="106" w:name="_Toc81378427"/>
      <w:r>
        <w:rPr>
          <w:rFonts w:hint="eastAsia" w:hAnsi="等线" w:cs="Arial"/>
          <w:b/>
          <w:bCs/>
          <w:color w:val="00B0F0"/>
          <w:sz w:val="30"/>
          <w:szCs w:val="30"/>
          <w:lang w:val="en-US" w:eastAsia="zh-CN"/>
        </w:rPr>
        <w:t>结直肠</w:t>
      </w:r>
      <w:r>
        <w:rPr>
          <w:rFonts w:hint="eastAsia" w:hAnsi="等线" w:cs="Arial"/>
          <w:b/>
          <w:bCs/>
          <w:color w:val="00B0F0"/>
          <w:sz w:val="30"/>
          <w:szCs w:val="30"/>
        </w:rPr>
        <w:t>癌多靶点药物和联合治疗用药方案</w:t>
      </w:r>
      <w:r>
        <w:rPr>
          <w:rFonts w:hAnsi="等线" w:cs="Arial"/>
          <w:b/>
          <w:bCs/>
          <w:color w:val="00B0F0"/>
          <w:sz w:val="30"/>
          <w:szCs w:val="30"/>
        </w:rPr>
        <w:drawing>
          <wp:anchor distT="0" distB="0" distL="114300" distR="114300" simplePos="0" relativeHeight="251698176" behindDoc="0" locked="0" layoutInCell="1" allowOverlap="1">
            <wp:simplePos x="0" y="0"/>
            <wp:positionH relativeFrom="column">
              <wp:posOffset>-9525</wp:posOffset>
            </wp:positionH>
            <wp:positionV relativeFrom="paragraph">
              <wp:posOffset>52070</wp:posOffset>
            </wp:positionV>
            <wp:extent cx="295275" cy="297180"/>
            <wp:effectExtent l="0" t="0" r="9525" b="7620"/>
            <wp:wrapNone/>
            <wp:docPr id="1050" name="图片 70" descr="D:\解码\4x\资源 4@47.png资源 4@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D:\解码\4x\资源 4@47.png资源 4@47"/>
                    <pic:cNvPicPr>
                      <a:picLocks noChangeAspect="1"/>
                    </pic:cNvPicPr>
                  </pic:nvPicPr>
                  <pic:blipFill>
                    <a:blip r:embed="rId16"/>
                    <a:srcRect/>
                    <a:stretch>
                      <a:fillRect/>
                    </a:stretch>
                  </pic:blipFill>
                  <pic:spPr>
                    <a:xfrm>
                      <a:off x="0" y="0"/>
                      <a:ext cx="295275" cy="297180"/>
                    </a:xfrm>
                    <a:prstGeom prst="rect">
                      <a:avLst/>
                    </a:prstGeom>
                  </pic:spPr>
                </pic:pic>
              </a:graphicData>
            </a:graphic>
          </wp:anchor>
        </w:drawing>
      </w:r>
      <w:r>
        <w:rPr>
          <w:rFonts w:hint="eastAsia" w:hAnsi="等线" w:cs="Arial"/>
          <w:b/>
          <w:bCs/>
          <w:color w:val="00B0F0"/>
          <w:sz w:val="30"/>
          <w:szCs w:val="30"/>
          <w:lang w:val="en-US" w:eastAsia="zh-CN"/>
        </w:rPr>
        <w:t>介绍</w:t>
      </w:r>
    </w:p>
    <w:tbl>
      <w:tblPr>
        <w:tblStyle w:val="20"/>
        <w:tblW w:w="5111" w:type="pct"/>
        <w:tblInd w:w="0" w:type="dxa"/>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Layout w:type="fixed"/>
        <w:tblCellMar>
          <w:top w:w="0" w:type="dxa"/>
          <w:left w:w="0" w:type="dxa"/>
          <w:bottom w:w="0" w:type="dxa"/>
          <w:right w:w="0" w:type="dxa"/>
        </w:tblCellMar>
      </w:tblPr>
      <w:tblGrid>
        <w:gridCol w:w="843"/>
        <w:gridCol w:w="1733"/>
        <w:gridCol w:w="1061"/>
        <w:gridCol w:w="1096"/>
        <w:gridCol w:w="5151"/>
      </w:tblGrid>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454" w:hRule="atLeast"/>
          <w:tblHeader/>
        </w:trPr>
        <w:tc>
          <w:tcPr>
            <w:tcW w:w="426" w:type="pct"/>
            <w:tcBorders>
              <w:tl2br w:val="nil"/>
              <w:tr2bl w:val="nil"/>
            </w:tcBorders>
            <w:shd w:val="clear" w:color="auto" w:fill="00B0F0"/>
            <w:vAlign w:val="center"/>
          </w:tcPr>
          <w:p>
            <w:pPr>
              <w:jc w:val="center"/>
              <w:rPr>
                <w:rFonts w:ascii="等线" w:hAnsi="等线" w:eastAsia="等线" w:cs="Times New Roman"/>
                <w:b/>
                <w:bCs/>
                <w:color w:val="FFFFFF"/>
                <w:sz w:val="24"/>
                <w:szCs w:val="24"/>
              </w:rPr>
            </w:pPr>
            <w:r>
              <w:rPr>
                <w:rFonts w:hint="eastAsia" w:ascii="等线" w:hAnsi="等线" w:eastAsia="等线" w:cs="Times New Roman"/>
                <w:b/>
                <w:bCs/>
                <w:color w:val="FFFFFF"/>
                <w:sz w:val="24"/>
                <w:szCs w:val="24"/>
              </w:rPr>
              <w:t>癌种</w:t>
            </w:r>
          </w:p>
        </w:tc>
        <w:tc>
          <w:tcPr>
            <w:tcW w:w="876" w:type="pct"/>
            <w:tcBorders>
              <w:tl2br w:val="nil"/>
              <w:tr2bl w:val="nil"/>
            </w:tcBorders>
            <w:shd w:val="clear" w:color="auto" w:fill="00B0F0"/>
            <w:noWrap/>
            <w:tcMar>
              <w:top w:w="12" w:type="dxa"/>
              <w:left w:w="12" w:type="dxa"/>
              <w:right w:w="12" w:type="dxa"/>
            </w:tcMar>
            <w:vAlign w:val="center"/>
          </w:tcPr>
          <w:p>
            <w:pPr>
              <w:jc w:val="center"/>
              <w:rPr>
                <w:rFonts w:ascii="等线" w:hAnsi="等线" w:eastAsia="等线" w:cs="Times New Roman"/>
                <w:b/>
                <w:bCs/>
                <w:color w:val="FFFFFF"/>
                <w:sz w:val="24"/>
                <w:szCs w:val="24"/>
              </w:rPr>
            </w:pPr>
            <w:r>
              <w:rPr>
                <w:rFonts w:hint="eastAsia" w:ascii="等线" w:hAnsi="等线" w:eastAsia="等线" w:cs="Times New Roman"/>
                <w:b/>
                <w:bCs/>
                <w:color w:val="FFFFFF"/>
                <w:sz w:val="24"/>
                <w:szCs w:val="24"/>
              </w:rPr>
              <w:t>用药方案</w:t>
            </w:r>
          </w:p>
        </w:tc>
        <w:tc>
          <w:tcPr>
            <w:tcW w:w="536" w:type="pct"/>
            <w:tcBorders>
              <w:tl2br w:val="nil"/>
              <w:tr2bl w:val="nil"/>
            </w:tcBorders>
            <w:shd w:val="clear" w:color="auto" w:fill="00B0F0"/>
            <w:noWrap/>
            <w:tcMar>
              <w:top w:w="12" w:type="dxa"/>
              <w:left w:w="12" w:type="dxa"/>
              <w:right w:w="12" w:type="dxa"/>
            </w:tcMar>
            <w:vAlign w:val="center"/>
          </w:tcPr>
          <w:p>
            <w:pPr>
              <w:jc w:val="center"/>
              <w:rPr>
                <w:rFonts w:ascii="等线" w:hAnsi="等线" w:eastAsia="等线" w:cs="Times New Roman"/>
                <w:b/>
                <w:bCs/>
                <w:color w:val="FFFFFF"/>
                <w:sz w:val="24"/>
                <w:szCs w:val="24"/>
              </w:rPr>
            </w:pPr>
            <w:r>
              <w:rPr>
                <w:rFonts w:hint="eastAsia" w:ascii="等线" w:hAnsi="等线" w:eastAsia="等线" w:cs="Times New Roman"/>
                <w:b/>
                <w:bCs/>
                <w:color w:val="FFFFFF"/>
                <w:sz w:val="24"/>
                <w:szCs w:val="24"/>
              </w:rPr>
              <w:t>治疗类型</w:t>
            </w:r>
          </w:p>
        </w:tc>
        <w:tc>
          <w:tcPr>
            <w:tcW w:w="554" w:type="pct"/>
            <w:tcBorders>
              <w:tl2br w:val="nil"/>
              <w:tr2bl w:val="nil"/>
            </w:tcBorders>
            <w:shd w:val="clear" w:color="auto" w:fill="00B0F0"/>
            <w:noWrap/>
            <w:tcMar>
              <w:top w:w="12" w:type="dxa"/>
              <w:left w:w="12" w:type="dxa"/>
              <w:right w:w="12" w:type="dxa"/>
            </w:tcMar>
            <w:vAlign w:val="center"/>
          </w:tcPr>
          <w:p>
            <w:pPr>
              <w:jc w:val="center"/>
              <w:rPr>
                <w:rFonts w:ascii="等线" w:hAnsi="等线" w:eastAsia="等线" w:cs="Times New Roman"/>
                <w:b/>
                <w:bCs/>
                <w:color w:val="FFFFFF"/>
                <w:sz w:val="24"/>
                <w:szCs w:val="24"/>
              </w:rPr>
            </w:pPr>
            <w:r>
              <w:rPr>
                <w:rFonts w:hint="eastAsia" w:ascii="等线" w:hAnsi="等线" w:eastAsia="等线" w:cs="Times New Roman"/>
                <w:b/>
                <w:bCs/>
                <w:color w:val="FFFFFF"/>
                <w:sz w:val="24"/>
                <w:szCs w:val="24"/>
              </w:rPr>
              <w:t>药物机制</w:t>
            </w:r>
          </w:p>
        </w:tc>
        <w:tc>
          <w:tcPr>
            <w:tcW w:w="2605" w:type="pct"/>
            <w:tcBorders>
              <w:tl2br w:val="nil"/>
              <w:tr2bl w:val="nil"/>
            </w:tcBorders>
            <w:shd w:val="clear" w:color="auto" w:fill="00B0F0"/>
            <w:noWrap/>
            <w:tcMar>
              <w:top w:w="12" w:type="dxa"/>
              <w:left w:w="12" w:type="dxa"/>
              <w:right w:w="12" w:type="dxa"/>
            </w:tcMar>
            <w:vAlign w:val="center"/>
          </w:tcPr>
          <w:p>
            <w:pPr>
              <w:jc w:val="center"/>
              <w:rPr>
                <w:rFonts w:ascii="等线" w:hAnsi="等线" w:eastAsia="等线" w:cs="Times New Roman"/>
                <w:b/>
                <w:bCs/>
                <w:color w:val="FFFFFF"/>
                <w:sz w:val="24"/>
                <w:szCs w:val="24"/>
              </w:rPr>
            </w:pPr>
            <w:r>
              <w:rPr>
                <w:rFonts w:hint="eastAsia" w:ascii="等线" w:hAnsi="等线" w:eastAsia="等线" w:cs="Times New Roman"/>
                <w:b/>
                <w:bCs/>
                <w:color w:val="FFFFFF"/>
                <w:sz w:val="24"/>
                <w:szCs w:val="24"/>
              </w:rPr>
              <w:t>使用范围</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restart"/>
            <w:tcBorders>
              <w:tl2br w:val="nil"/>
              <w:tr2bl w:val="nil"/>
            </w:tcBorders>
            <w:shd w:val="clear" w:color="auto" w:fill="CCDDF3"/>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rPr>
              <w:t>结直肠癌</w:t>
            </w: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rPr>
            </w:pPr>
            <w:r>
              <w:rPr>
                <w:rFonts w:hint="eastAsia" w:ascii="等线" w:hAnsi="等线" w:eastAsia="等线" w:cs="等线"/>
                <w:sz w:val="18"/>
                <w:szCs w:val="18"/>
              </w:rPr>
              <w:t>放疗+卡培他滨</w:t>
            </w:r>
          </w:p>
        </w:tc>
        <w:tc>
          <w:tcPr>
            <w:tcW w:w="536" w:type="pct"/>
            <w:vMerge w:val="restar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rPr>
            </w:pPr>
            <w:r>
              <w:rPr>
                <w:rFonts w:hint="eastAsia" w:ascii="等线" w:hAnsi="等线" w:eastAsia="等线" w:cs="等线"/>
                <w:sz w:val="18"/>
                <w:szCs w:val="18"/>
              </w:rPr>
              <w:t>术前同期放化疗</w:t>
            </w:r>
          </w:p>
        </w:tc>
        <w:tc>
          <w:tcPr>
            <w:tcW w:w="554" w:type="pct"/>
            <w:vMerge w:val="restar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rPr>
            </w:pPr>
            <w:r>
              <w:rPr>
                <w:rFonts w:hint="eastAsia" w:ascii="等线" w:hAnsi="等线" w:eastAsia="等线" w:cs="等线"/>
                <w:sz w:val="18"/>
                <w:szCs w:val="18"/>
              </w:rPr>
              <w:t>放疗+化疗</w:t>
            </w:r>
          </w:p>
        </w:tc>
        <w:tc>
          <w:tcPr>
            <w:tcW w:w="2605" w:type="pct"/>
            <w:vMerge w:val="restart"/>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非转移性直肠癌的术前同期放化疗</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spacing w:line="240" w:lineRule="exact"/>
              <w:jc w:val="center"/>
              <w:rPr>
                <w:rFonts w:ascii="等线" w:hAnsi="等线" w:eastAsia="等线" w:cs="等线"/>
                <w:sz w:val="18"/>
                <w:szCs w:val="18"/>
                <w:lang w:bidi="ar"/>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rPr>
            </w:pPr>
            <w:r>
              <w:rPr>
                <w:rFonts w:hint="eastAsia" w:ascii="等线" w:hAnsi="等线" w:eastAsia="等线" w:cs="等线"/>
                <w:sz w:val="18"/>
                <w:szCs w:val="18"/>
              </w:rPr>
              <w:t>放疗+5-FU持续输注</w:t>
            </w:r>
          </w:p>
        </w:tc>
        <w:tc>
          <w:tcPr>
            <w:tcW w:w="536" w:type="pct"/>
            <w:vMerge w:val="continue"/>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rPr>
            </w:pPr>
          </w:p>
        </w:tc>
        <w:tc>
          <w:tcPr>
            <w:tcW w:w="554" w:type="pct"/>
            <w:vMerge w:val="continue"/>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rPr>
            </w:pPr>
          </w:p>
        </w:tc>
        <w:tc>
          <w:tcPr>
            <w:tcW w:w="2605" w:type="pct"/>
            <w:vMerge w:val="continue"/>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spacing w:line="240" w:lineRule="exact"/>
              <w:jc w:val="center"/>
              <w:rPr>
                <w:rFonts w:ascii="等线" w:hAnsi="等线" w:eastAsia="等线" w:cs="等线"/>
                <w:sz w:val="18"/>
                <w:szCs w:val="18"/>
                <w:lang w:bidi="ar"/>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rPr>
            </w:pPr>
            <w:r>
              <w:rPr>
                <w:rFonts w:hint="eastAsia" w:ascii="等线" w:hAnsi="等线" w:eastAsia="等线" w:cs="等线"/>
                <w:sz w:val="18"/>
                <w:szCs w:val="18"/>
              </w:rPr>
              <w:t>疗效+伊立替康联合卡培他滨</w:t>
            </w:r>
          </w:p>
        </w:tc>
        <w:tc>
          <w:tcPr>
            <w:tcW w:w="536" w:type="pct"/>
            <w:vMerge w:val="continue"/>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rPr>
            </w:pPr>
          </w:p>
        </w:tc>
        <w:tc>
          <w:tcPr>
            <w:tcW w:w="554" w:type="pct"/>
            <w:vMerge w:val="continue"/>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rPr>
            </w:pPr>
          </w:p>
        </w:tc>
        <w:tc>
          <w:tcPr>
            <w:tcW w:w="2605" w:type="pct"/>
            <w:vMerge w:val="continue"/>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340" w:hRule="atLeast"/>
        </w:trPr>
        <w:tc>
          <w:tcPr>
            <w:tcW w:w="426" w:type="pct"/>
            <w:vMerge w:val="continue"/>
            <w:tcBorders>
              <w:tl2br w:val="nil"/>
              <w:tr2bl w:val="nil"/>
            </w:tcBorders>
            <w:shd w:val="clear" w:color="auto" w:fill="CCDDF3"/>
            <w:vAlign w:val="center"/>
          </w:tcPr>
          <w:p>
            <w:pPr>
              <w:spacing w:line="240" w:lineRule="exact"/>
              <w:jc w:val="center"/>
              <w:rPr>
                <w:rFonts w:ascii="等线" w:hAnsi="等线" w:eastAsia="等线" w:cs="等线"/>
                <w:sz w:val="18"/>
                <w:szCs w:val="18"/>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rPr>
            </w:pPr>
            <w:r>
              <w:rPr>
                <w:rFonts w:hint="eastAsia" w:ascii="等线" w:hAnsi="等线" w:eastAsia="等线" w:cs="等线"/>
                <w:sz w:val="18"/>
                <w:szCs w:val="18"/>
              </w:rPr>
              <w:t>CAPEOX</w:t>
            </w:r>
          </w:p>
        </w:tc>
        <w:tc>
          <w:tcPr>
            <w:tcW w:w="536" w:type="pct"/>
            <w:vMerge w:val="restar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rPr>
            </w:pPr>
            <w:r>
              <w:rPr>
                <w:rFonts w:hint="eastAsia" w:ascii="等线" w:hAnsi="等线" w:eastAsia="等线" w:cs="等线"/>
                <w:sz w:val="18"/>
                <w:szCs w:val="18"/>
              </w:rPr>
              <w:t>术后辅助化疗</w:t>
            </w:r>
          </w:p>
        </w:tc>
        <w:tc>
          <w:tcPr>
            <w:tcW w:w="554" w:type="pct"/>
            <w:vMerge w:val="restar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rPr>
            </w:pPr>
            <w:r>
              <w:rPr>
                <w:rFonts w:hint="eastAsia" w:ascii="等线" w:hAnsi="等线" w:eastAsia="等线" w:cs="等线"/>
                <w:sz w:val="18"/>
                <w:szCs w:val="18"/>
              </w:rPr>
              <w:t>化疗</w:t>
            </w:r>
          </w:p>
        </w:tc>
        <w:tc>
          <w:tcPr>
            <w:tcW w:w="2605" w:type="pct"/>
            <w:vMerge w:val="restart"/>
            <w:tcBorders>
              <w:tl2br w:val="nil"/>
              <w:tr2bl w:val="nil"/>
            </w:tcBorders>
            <w:shd w:val="clear" w:color="auto" w:fill="FFFFFF"/>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II期高危（T3N0M0/pMMR伴高危因素，或T4N0M0），或III期（T任何N+M0），可切除结肠癌的术后辅助化疗（1A类I级推荐）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340" w:hRule="atLeast"/>
        </w:trPr>
        <w:tc>
          <w:tcPr>
            <w:tcW w:w="426" w:type="pct"/>
            <w:vMerge w:val="continue"/>
            <w:tcBorders>
              <w:tl2br w:val="nil"/>
              <w:tr2bl w:val="nil"/>
            </w:tcBorders>
            <w:shd w:val="clear" w:color="auto" w:fill="CCDDF3"/>
            <w:vAlign w:val="center"/>
          </w:tcPr>
          <w:p>
            <w:pPr>
              <w:spacing w:line="240" w:lineRule="exact"/>
              <w:jc w:val="center"/>
              <w:rPr>
                <w:rFonts w:ascii="Calibri" w:hAnsi="Calibri" w:eastAsia="宋体"/>
                <w:szCs w:val="24"/>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rPr>
            </w:pPr>
            <w:r>
              <w:rPr>
                <w:rFonts w:hint="eastAsia" w:ascii="等线" w:hAnsi="等线" w:eastAsia="等线" w:cs="等线"/>
                <w:sz w:val="18"/>
                <w:szCs w:val="18"/>
              </w:rPr>
              <w:t>FOLFOX</w:t>
            </w:r>
          </w:p>
        </w:tc>
        <w:tc>
          <w:tcPr>
            <w:tcW w:w="536" w:type="pct"/>
            <w:vMerge w:val="continue"/>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rPr>
            </w:pPr>
          </w:p>
        </w:tc>
        <w:tc>
          <w:tcPr>
            <w:tcW w:w="554" w:type="pct"/>
            <w:vMerge w:val="continue"/>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rPr>
            </w:pPr>
          </w:p>
        </w:tc>
        <w:tc>
          <w:tcPr>
            <w:tcW w:w="2605" w:type="pct"/>
            <w:vMerge w:val="continue"/>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rPr>
            </w:pP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spacing w:line="240" w:lineRule="exact"/>
              <w:jc w:val="center"/>
              <w:rPr>
                <w:rFonts w:ascii="等线" w:hAnsi="等线" w:eastAsia="等线" w:cs="等线"/>
                <w:sz w:val="18"/>
                <w:szCs w:val="18"/>
                <w:lang w:bidi="ar"/>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FOLFOX</w:t>
            </w:r>
          </w:p>
        </w:tc>
        <w:tc>
          <w:tcPr>
            <w:tcW w:w="536" w:type="pct"/>
            <w:vMerge w:val="restar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新辅助化疗</w:t>
            </w:r>
          </w:p>
        </w:tc>
        <w:tc>
          <w:tcPr>
            <w:tcW w:w="554" w:type="pct"/>
            <w:vMerge w:val="restar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ascii="等线" w:hAnsi="等线" w:eastAsia="等线" w:cs="等线"/>
                <w:sz w:val="18"/>
                <w:szCs w:val="18"/>
                <w:lang w:bidi="ar"/>
              </w:rPr>
              <w:t>化疗</w:t>
            </w:r>
          </w:p>
        </w:tc>
        <w:tc>
          <w:tcPr>
            <w:tcW w:w="2605" w:type="pct"/>
            <w:vMerge w:val="restart"/>
            <w:tcBorders>
              <w:tl2br w:val="nil"/>
              <w:tr2bl w:val="nil"/>
            </w:tcBorders>
            <w:shd w:val="clear" w:color="auto" w:fill="CCDDF3"/>
            <w:noWrap/>
            <w:tcMar>
              <w:top w:w="12" w:type="dxa"/>
              <w:left w:w="12" w:type="dxa"/>
              <w:right w:w="12" w:type="dxa"/>
            </w:tcMar>
            <w:vAlign w:val="center"/>
          </w:tcPr>
          <w:p>
            <w:pPr>
              <w:numPr>
                <w:ilvl w:val="0"/>
                <w:numId w:val="9"/>
              </w:numPr>
              <w:spacing w:line="240" w:lineRule="exact"/>
              <w:rPr>
                <w:rFonts w:ascii="等线" w:hAnsi="等线" w:eastAsia="等线" w:cs="等线"/>
                <w:sz w:val="18"/>
                <w:szCs w:val="18"/>
                <w:lang w:bidi="ar"/>
              </w:rPr>
            </w:pPr>
            <w:r>
              <w:rPr>
                <w:rFonts w:hint="eastAsia" w:ascii="等线" w:hAnsi="等线" w:eastAsia="等线" w:cs="等线"/>
                <w:sz w:val="18"/>
                <w:szCs w:val="18"/>
                <w:lang w:bidi="ar"/>
              </w:rPr>
              <w:t>初始可切除转移性结肠癌的新辅助化疗；</w:t>
            </w:r>
          </w:p>
          <w:p>
            <w:pPr>
              <w:numPr>
                <w:ilvl w:val="0"/>
                <w:numId w:val="9"/>
              </w:numPr>
              <w:spacing w:line="240" w:lineRule="exact"/>
              <w:rPr>
                <w:rFonts w:ascii="等线" w:hAnsi="等线" w:eastAsia="等线" w:cs="等线"/>
                <w:sz w:val="18"/>
                <w:szCs w:val="18"/>
                <w:lang w:bidi="ar"/>
              </w:rPr>
            </w:pPr>
            <w:r>
              <w:rPr>
                <w:rFonts w:hint="eastAsia" w:ascii="等线" w:hAnsi="等线" w:eastAsia="等线" w:cs="等线"/>
                <w:sz w:val="18"/>
                <w:szCs w:val="18"/>
                <w:lang w:bidi="ar"/>
              </w:rPr>
              <w:t>同时性转移性直肠癌（原发灶可切除≦中度复发风险，转移瘤可切除）的新辅助化疗</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spacing w:line="240" w:lineRule="exact"/>
              <w:jc w:val="center"/>
              <w:rPr>
                <w:rFonts w:ascii="Calibri" w:hAnsi="Calibri" w:eastAsia="宋体"/>
                <w:szCs w:val="24"/>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CAPEOX</w:t>
            </w:r>
          </w:p>
        </w:tc>
        <w:tc>
          <w:tcPr>
            <w:tcW w:w="536" w:type="pct"/>
            <w:vMerge w:val="continue"/>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554" w:type="pct"/>
            <w:vMerge w:val="continue"/>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2605" w:type="pct"/>
            <w:vMerge w:val="continue"/>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spacing w:line="240" w:lineRule="exact"/>
              <w:jc w:val="center"/>
              <w:rPr>
                <w:rFonts w:ascii="等线" w:hAnsi="等线" w:eastAsia="等线" w:cs="等线"/>
                <w:sz w:val="18"/>
                <w:szCs w:val="18"/>
                <w:lang w:bidi="ar"/>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FOLFIRI</w:t>
            </w:r>
          </w:p>
        </w:tc>
        <w:tc>
          <w:tcPr>
            <w:tcW w:w="536" w:type="pct"/>
            <w:vMerge w:val="continue"/>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554" w:type="pct"/>
            <w:vMerge w:val="continue"/>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2605" w:type="pct"/>
            <w:vMerge w:val="continue"/>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1020" w:hRule="atLeast"/>
        </w:trPr>
        <w:tc>
          <w:tcPr>
            <w:tcW w:w="426" w:type="pct"/>
            <w:vMerge w:val="continue"/>
            <w:tcBorders>
              <w:tl2br w:val="nil"/>
              <w:tr2bl w:val="nil"/>
            </w:tcBorders>
            <w:shd w:val="clear" w:color="auto" w:fill="CCDDF3"/>
            <w:vAlign w:val="center"/>
          </w:tcPr>
          <w:p>
            <w:pPr>
              <w:spacing w:line="240" w:lineRule="exact"/>
              <w:jc w:val="center"/>
              <w:rPr>
                <w:rFonts w:ascii="等线" w:hAnsi="等线" w:eastAsia="等线" w:cs="等线"/>
                <w:sz w:val="18"/>
                <w:szCs w:val="18"/>
                <w:lang w:bidi="ar"/>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FOLFOX</w:t>
            </w:r>
          </w:p>
        </w:tc>
        <w:tc>
          <w:tcPr>
            <w:tcW w:w="536" w:type="pct"/>
            <w:vMerge w:val="restar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一线治疗</w:t>
            </w:r>
          </w:p>
        </w:tc>
        <w:tc>
          <w:tcPr>
            <w:tcW w:w="554" w:type="pct"/>
            <w:vMerge w:val="restar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w:t>
            </w:r>
          </w:p>
        </w:tc>
        <w:tc>
          <w:tcPr>
            <w:tcW w:w="2605" w:type="pct"/>
            <w:vMerge w:val="restart"/>
            <w:tcBorders>
              <w:tl2br w:val="nil"/>
              <w:tr2bl w:val="nil"/>
            </w:tcBorders>
            <w:shd w:val="clear" w:color="auto" w:fill="FFFFFF"/>
            <w:noWrap/>
            <w:tcMar>
              <w:top w:w="12" w:type="dxa"/>
              <w:left w:w="12" w:type="dxa"/>
              <w:right w:w="12" w:type="dxa"/>
            </w:tcMar>
            <w:vAlign w:val="center"/>
          </w:tcPr>
          <w:p>
            <w:pPr>
              <w:spacing w:line="240" w:lineRule="exact"/>
              <w:rPr>
                <w:rFonts w:hint="eastAsia"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w:t>
            </w:r>
          </w:p>
          <w:p>
            <w:pPr>
              <w:numPr>
                <w:ilvl w:val="0"/>
                <w:numId w:val="10"/>
              </w:numPr>
              <w:spacing w:line="240" w:lineRule="exact"/>
              <w:rPr>
                <w:rFonts w:ascii="等线" w:hAnsi="等线" w:eastAsia="等线" w:cs="等线"/>
                <w:sz w:val="18"/>
                <w:szCs w:val="18"/>
              </w:rPr>
            </w:pPr>
            <w:r>
              <w:rPr>
                <w:rFonts w:hint="eastAsia" w:ascii="等线" w:hAnsi="等线" w:eastAsia="等线" w:cs="等线"/>
                <w:sz w:val="18"/>
                <w:szCs w:val="18"/>
              </w:rPr>
              <w:t>潜在可切除组，适合强烈治疗（RAS和BRAF均野生型），原发灶位于左侧结直肠（2A类II级推荐），原发灶位于右侧结肠（2B类II级推荐）；</w:t>
            </w:r>
          </w:p>
          <w:p>
            <w:pPr>
              <w:numPr>
                <w:ilvl w:val="0"/>
                <w:numId w:val="10"/>
              </w:numPr>
              <w:spacing w:line="240" w:lineRule="exact"/>
              <w:rPr>
                <w:rFonts w:ascii="等线" w:hAnsi="等线" w:eastAsia="等线" w:cs="等线"/>
                <w:sz w:val="18"/>
                <w:szCs w:val="18"/>
              </w:rPr>
            </w:pPr>
            <w:r>
              <w:rPr>
                <w:rFonts w:hint="eastAsia" w:ascii="等线" w:hAnsi="等线" w:eastAsia="等线" w:cs="等线"/>
                <w:sz w:val="18"/>
                <w:szCs w:val="18"/>
              </w:rPr>
              <w:t>潜在可切除组，适合强烈治疗（RAS</w:t>
            </w:r>
            <w:r>
              <w:rPr>
                <w:rFonts w:hint="eastAsia" w:ascii="等线" w:hAnsi="等线" w:eastAsia="等线" w:cs="等线"/>
                <w:sz w:val="18"/>
                <w:szCs w:val="18"/>
                <w:lang w:val="en-US" w:eastAsia="zh-CN"/>
              </w:rPr>
              <w:t>或</w:t>
            </w:r>
            <w:r>
              <w:rPr>
                <w:rFonts w:hint="eastAsia" w:ascii="等线" w:hAnsi="等线" w:eastAsia="等线" w:cs="等线"/>
                <w:sz w:val="18"/>
                <w:szCs w:val="18"/>
              </w:rPr>
              <w:t>BRAF</w:t>
            </w:r>
            <w:r>
              <w:rPr>
                <w:rFonts w:hint="eastAsia" w:ascii="等线" w:hAnsi="等线" w:eastAsia="等线" w:cs="等线"/>
                <w:sz w:val="18"/>
                <w:szCs w:val="18"/>
                <w:lang w:val="en-US" w:eastAsia="zh-CN"/>
              </w:rPr>
              <w:t>突变型</w:t>
            </w:r>
            <w:r>
              <w:rPr>
                <w:rFonts w:hint="eastAsia" w:ascii="等线" w:hAnsi="等线" w:eastAsia="等线" w:cs="等线"/>
                <w:sz w:val="18"/>
                <w:szCs w:val="18"/>
              </w:rPr>
              <w:t>）</w:t>
            </w:r>
            <w:r>
              <w:rPr>
                <w:rFonts w:hint="eastAsia" w:ascii="等线" w:hAnsi="等线" w:eastAsia="等线" w:cs="等线"/>
                <w:sz w:val="18"/>
                <w:szCs w:val="18"/>
                <w:lang w:eastAsia="zh-CN"/>
              </w:rPr>
              <w:t>（2A类II级推荐）；</w:t>
            </w:r>
          </w:p>
          <w:p>
            <w:pPr>
              <w:numPr>
                <w:ilvl w:val="0"/>
                <w:numId w:val="10"/>
              </w:numPr>
              <w:spacing w:line="240" w:lineRule="exact"/>
              <w:rPr>
                <w:rFonts w:ascii="等线" w:hAnsi="等线" w:eastAsia="等线" w:cs="等线"/>
                <w:sz w:val="18"/>
                <w:szCs w:val="18"/>
              </w:rPr>
            </w:pPr>
            <w:r>
              <w:rPr>
                <w:rFonts w:hint="eastAsia" w:ascii="等线" w:hAnsi="等线" w:eastAsia="等线" w:cs="等线"/>
                <w:sz w:val="18"/>
                <w:szCs w:val="18"/>
              </w:rPr>
              <w:t>姑息治疗组，适合强烈治疗（MSS或MSI-L/pMMR）（1A类I级推荐）；</w:t>
            </w:r>
          </w:p>
          <w:p>
            <w:pPr>
              <w:numPr>
                <w:ilvl w:val="0"/>
                <w:numId w:val="10"/>
              </w:numPr>
              <w:spacing w:line="240" w:lineRule="exact"/>
              <w:rPr>
                <w:rFonts w:hint="eastAsia" w:ascii="等线" w:hAnsi="等线" w:eastAsia="等线" w:cs="等线"/>
                <w:sz w:val="18"/>
                <w:szCs w:val="18"/>
              </w:rPr>
            </w:pPr>
            <w:r>
              <w:rPr>
                <w:rFonts w:hint="eastAsia" w:ascii="等线" w:hAnsi="等线" w:eastAsia="等线" w:cs="等线"/>
                <w:sz w:val="18"/>
                <w:szCs w:val="18"/>
              </w:rPr>
              <w:t>减量的两药化疗，用于姑息治疗组，不适合强烈治疗（MSS或MSI-L/pMMR）（2B类II级推荐）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1020" w:hRule="atLeast"/>
        </w:trPr>
        <w:tc>
          <w:tcPr>
            <w:tcW w:w="426" w:type="pct"/>
            <w:vMerge w:val="continue"/>
            <w:tcBorders>
              <w:tl2br w:val="nil"/>
              <w:tr2bl w:val="nil"/>
            </w:tcBorders>
            <w:shd w:val="clear" w:color="auto" w:fill="CCDDF3"/>
            <w:vAlign w:val="center"/>
          </w:tcPr>
          <w:p>
            <w:pPr>
              <w:spacing w:line="240" w:lineRule="exact"/>
              <w:jc w:val="center"/>
              <w:rPr>
                <w:rFonts w:ascii="等线" w:hAnsi="等线" w:eastAsia="等线" w:cs="等线"/>
                <w:sz w:val="18"/>
                <w:szCs w:val="18"/>
                <w:lang w:bidi="ar"/>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FOLFIRI</w:t>
            </w:r>
          </w:p>
        </w:tc>
        <w:tc>
          <w:tcPr>
            <w:tcW w:w="536" w:type="pct"/>
            <w:vMerge w:val="continue"/>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554" w:type="pct"/>
            <w:vMerge w:val="continue"/>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2605" w:type="pct"/>
            <w:vMerge w:val="continue"/>
            <w:tcBorders>
              <w:tl2br w:val="nil"/>
              <w:tr2bl w:val="nil"/>
            </w:tcBorders>
            <w:shd w:val="clear" w:color="auto" w:fill="FFFFFF"/>
            <w:noWrap/>
            <w:tcMar>
              <w:top w:w="12" w:type="dxa"/>
              <w:left w:w="12" w:type="dxa"/>
              <w:right w:w="12" w:type="dxa"/>
            </w:tcMar>
            <w:vAlign w:val="center"/>
          </w:tcPr>
          <w:p>
            <w:pPr>
              <w:numPr>
                <w:ilvl w:val="0"/>
                <w:numId w:val="11"/>
              </w:numPr>
              <w:spacing w:line="240" w:lineRule="exact"/>
              <w:rPr>
                <w:rFonts w:ascii="等线" w:hAnsi="等线" w:eastAsia="等线" w:cs="等线"/>
                <w:sz w:val="18"/>
                <w:szCs w:val="18"/>
              </w:rPr>
            </w:pP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spacing w:line="240" w:lineRule="exact"/>
              <w:jc w:val="center"/>
              <w:rPr>
                <w:rFonts w:ascii="等线" w:hAnsi="等线" w:eastAsia="等线" w:cs="等线"/>
                <w:sz w:val="18"/>
                <w:szCs w:val="18"/>
                <w:lang w:bidi="ar"/>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CAPEOX</w:t>
            </w:r>
          </w:p>
        </w:tc>
        <w:tc>
          <w:tcPr>
            <w:tcW w:w="53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一线治疗</w:t>
            </w:r>
          </w:p>
        </w:tc>
        <w:tc>
          <w:tcPr>
            <w:tcW w:w="554"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w:t>
            </w:r>
          </w:p>
        </w:tc>
        <w:tc>
          <w:tcPr>
            <w:tcW w:w="2605" w:type="pct"/>
            <w:tcBorders>
              <w:tl2br w:val="nil"/>
              <w:tr2bl w:val="nil"/>
            </w:tcBorders>
            <w:shd w:val="clear" w:color="auto" w:fill="CCDDF3"/>
            <w:noWrap/>
            <w:tcMar>
              <w:top w:w="12" w:type="dxa"/>
              <w:left w:w="12" w:type="dxa"/>
              <w:right w:w="12" w:type="dxa"/>
            </w:tcMar>
            <w:vAlign w:val="center"/>
          </w:tcPr>
          <w:p>
            <w:pPr>
              <w:spacing w:line="240" w:lineRule="exact"/>
              <w:rPr>
                <w:rFonts w:hint="eastAsia" w:ascii="等线" w:hAnsi="等线" w:eastAsia="等线" w:cs="等线"/>
                <w:sz w:val="18"/>
                <w:szCs w:val="18"/>
                <w:lang w:bidi="ar"/>
              </w:rPr>
            </w:pPr>
            <w:r>
              <w:rPr>
                <w:rFonts w:hint="eastAsia" w:ascii="等线" w:hAnsi="等线" w:eastAsia="等线" w:cs="等线"/>
                <w:sz w:val="18"/>
                <w:szCs w:val="18"/>
              </w:rPr>
              <w:t>初始不可切除转移性结肠癌或同时性转移性直肠癌（原发灶可切除≦中度复发风险，转移瘤不可切除）：</w:t>
            </w:r>
          </w:p>
          <w:p>
            <w:pPr>
              <w:numPr>
                <w:ilvl w:val="0"/>
                <w:numId w:val="12"/>
              </w:numPr>
              <w:spacing w:line="240" w:lineRule="exact"/>
              <w:rPr>
                <w:rFonts w:ascii="等线" w:hAnsi="等线" w:eastAsia="等线" w:cs="等线"/>
                <w:sz w:val="18"/>
                <w:szCs w:val="18"/>
                <w:lang w:bidi="ar"/>
              </w:rPr>
            </w:pPr>
            <w:r>
              <w:rPr>
                <w:rFonts w:hint="eastAsia" w:ascii="等线" w:hAnsi="等线" w:eastAsia="等线" w:cs="等线"/>
                <w:sz w:val="18"/>
                <w:szCs w:val="18"/>
              </w:rPr>
              <w:t>潜在可切除组，适合强烈治疗（2A类II级推荐）</w:t>
            </w:r>
            <w:r>
              <w:rPr>
                <w:rFonts w:hint="eastAsia" w:ascii="等线" w:hAnsi="等线" w:eastAsia="等线" w:cs="等线"/>
                <w:sz w:val="18"/>
                <w:szCs w:val="18"/>
                <w:lang w:eastAsia="zh-CN"/>
              </w:rPr>
              <w:t>；</w:t>
            </w:r>
          </w:p>
          <w:p>
            <w:pPr>
              <w:numPr>
                <w:ilvl w:val="0"/>
                <w:numId w:val="12"/>
              </w:numPr>
              <w:spacing w:line="240" w:lineRule="exact"/>
              <w:rPr>
                <w:rFonts w:ascii="等线" w:hAnsi="等线" w:eastAsia="等线" w:cs="等线"/>
                <w:sz w:val="18"/>
                <w:szCs w:val="18"/>
              </w:rPr>
            </w:pPr>
            <w:r>
              <w:rPr>
                <w:rFonts w:hint="eastAsia" w:ascii="等线" w:hAnsi="等线" w:eastAsia="等线" w:cs="等线"/>
                <w:sz w:val="18"/>
                <w:szCs w:val="18"/>
              </w:rPr>
              <w:t>姑息治疗组，适合强烈治疗（MSS或MSI-L/pMMR）（1A类I级推荐）；</w:t>
            </w:r>
          </w:p>
          <w:p>
            <w:pPr>
              <w:numPr>
                <w:ilvl w:val="0"/>
                <w:numId w:val="12"/>
              </w:numPr>
              <w:spacing w:line="240" w:lineRule="exact"/>
              <w:rPr>
                <w:rFonts w:hint="eastAsia" w:ascii="等线" w:hAnsi="等线" w:eastAsia="等线" w:cs="等线"/>
                <w:sz w:val="18"/>
                <w:szCs w:val="18"/>
              </w:rPr>
            </w:pPr>
            <w:r>
              <w:rPr>
                <w:rFonts w:hint="eastAsia" w:ascii="等线" w:hAnsi="等线" w:eastAsia="等线" w:cs="等线"/>
                <w:sz w:val="18"/>
                <w:szCs w:val="18"/>
              </w:rPr>
              <w:t>减量的两药化疗，用于姑息治疗组，不适合强烈治疗（MSS或MSI-L/pMMR）（2B类II级推荐）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1304" w:hRule="atLeast"/>
        </w:trPr>
        <w:tc>
          <w:tcPr>
            <w:tcW w:w="426" w:type="pct"/>
            <w:vMerge w:val="continue"/>
            <w:tcBorders>
              <w:tl2br w:val="nil"/>
              <w:tr2bl w:val="nil"/>
            </w:tcBorders>
            <w:shd w:val="clear" w:color="auto" w:fill="CCDDF3"/>
            <w:vAlign w:val="center"/>
          </w:tcPr>
          <w:p>
            <w:pPr>
              <w:spacing w:line="240" w:lineRule="exact"/>
              <w:jc w:val="center"/>
              <w:rPr>
                <w:rFonts w:ascii="Calibri" w:hAnsi="Calibri" w:eastAsia="宋体"/>
                <w:szCs w:val="24"/>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FOLFOX+西妥昔单抗</w:t>
            </w:r>
          </w:p>
        </w:tc>
        <w:tc>
          <w:tcPr>
            <w:tcW w:w="536" w:type="pct"/>
            <w:vMerge w:val="restar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一线治疗</w:t>
            </w:r>
          </w:p>
        </w:tc>
        <w:tc>
          <w:tcPr>
            <w:tcW w:w="554" w:type="pct"/>
            <w:vMerge w:val="restar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化疗+靶向</w:t>
            </w:r>
          </w:p>
        </w:tc>
        <w:tc>
          <w:tcPr>
            <w:tcW w:w="2605" w:type="pct"/>
            <w:vMerge w:val="restart"/>
            <w:tcBorders>
              <w:tl2br w:val="nil"/>
              <w:tr2bl w:val="nil"/>
            </w:tcBorders>
            <w:shd w:val="clear" w:color="auto" w:fill="FFFFFF"/>
            <w:noWrap/>
            <w:tcMar>
              <w:top w:w="12" w:type="dxa"/>
              <w:left w:w="12" w:type="dxa"/>
              <w:right w:w="12" w:type="dxa"/>
            </w:tcMar>
            <w:vAlign w:val="center"/>
          </w:tcPr>
          <w:p>
            <w:pPr>
              <w:spacing w:line="240" w:lineRule="exact"/>
              <w:rPr>
                <w:rFonts w:hint="eastAsia"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w:t>
            </w:r>
          </w:p>
          <w:p>
            <w:pPr>
              <w:numPr>
                <w:ilvl w:val="0"/>
                <w:numId w:val="13"/>
              </w:numPr>
              <w:spacing w:line="240" w:lineRule="exact"/>
              <w:rPr>
                <w:rFonts w:ascii="等线" w:hAnsi="等线" w:eastAsia="等线" w:cs="等线"/>
                <w:sz w:val="18"/>
                <w:szCs w:val="18"/>
              </w:rPr>
            </w:pPr>
            <w:r>
              <w:rPr>
                <w:rFonts w:hint="eastAsia" w:ascii="等线" w:hAnsi="等线" w:eastAsia="等线" w:cs="等线"/>
                <w:sz w:val="18"/>
                <w:szCs w:val="18"/>
              </w:rPr>
              <w:t>潜在可切除组，适合强烈治疗（RAS和BRAF均野生型），原发灶位于左侧结直肠（2A类I级推荐），原发灶位于右侧结肠（2B类II级推荐）；</w:t>
            </w:r>
          </w:p>
          <w:p>
            <w:pPr>
              <w:numPr>
                <w:ilvl w:val="0"/>
                <w:numId w:val="13"/>
              </w:numPr>
              <w:spacing w:line="240" w:lineRule="exact"/>
              <w:rPr>
                <w:rFonts w:ascii="等线" w:hAnsi="等线" w:eastAsia="等线" w:cs="等线"/>
                <w:sz w:val="18"/>
                <w:szCs w:val="18"/>
              </w:rPr>
            </w:pPr>
            <w:r>
              <w:rPr>
                <w:rFonts w:hint="eastAsia" w:ascii="等线" w:hAnsi="等线" w:eastAsia="等线" w:cs="等线"/>
                <w:sz w:val="18"/>
                <w:szCs w:val="18"/>
              </w:rPr>
              <w:t>姑息治疗组，适合强烈治疗（MSS或MSI-L/pMMR，RAS和BRAF均野生型），原发灶位于左侧结直肠（1A类I级推荐），原发灶位于右侧结肠，贝伐珠单抗有禁忌者（2A类II级推荐）；</w:t>
            </w:r>
          </w:p>
          <w:p>
            <w:pPr>
              <w:numPr>
                <w:ilvl w:val="0"/>
                <w:numId w:val="13"/>
              </w:numPr>
              <w:spacing w:line="240" w:lineRule="exact"/>
              <w:rPr>
                <w:rFonts w:ascii="等线" w:hAnsi="等线" w:eastAsia="等线" w:cs="等线"/>
                <w:sz w:val="18"/>
                <w:szCs w:val="18"/>
              </w:rPr>
            </w:pPr>
            <w:r>
              <w:rPr>
                <w:rFonts w:hint="eastAsia" w:ascii="等线" w:hAnsi="等线" w:eastAsia="等线" w:cs="等线"/>
                <w:sz w:val="18"/>
                <w:szCs w:val="18"/>
              </w:rPr>
              <w:t>减量的两药化疗+西妥昔单抗，用于姑息治疗组，不适合强烈治疗（MSS或MSI-L/pMMR，RAS和BRAF均野生型）（2B类II级推荐）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1304" w:hRule="atLeast"/>
        </w:trPr>
        <w:tc>
          <w:tcPr>
            <w:tcW w:w="426" w:type="pct"/>
            <w:vMerge w:val="continue"/>
            <w:tcBorders>
              <w:tl2br w:val="nil"/>
              <w:tr2bl w:val="nil"/>
            </w:tcBorders>
            <w:shd w:val="clear" w:color="auto" w:fill="CCDDF3"/>
            <w:vAlign w:val="center"/>
          </w:tcPr>
          <w:p>
            <w:pPr>
              <w:spacing w:line="240" w:lineRule="exact"/>
              <w:jc w:val="center"/>
              <w:rPr>
                <w:rFonts w:ascii="Calibri" w:hAnsi="Calibri" w:eastAsia="宋体"/>
                <w:szCs w:val="24"/>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FOLFIRI+西妥昔单抗</w:t>
            </w:r>
          </w:p>
        </w:tc>
        <w:tc>
          <w:tcPr>
            <w:tcW w:w="536" w:type="pct"/>
            <w:vMerge w:val="continue"/>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554" w:type="pct"/>
            <w:vMerge w:val="continue"/>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2605" w:type="pct"/>
            <w:vMerge w:val="continue"/>
            <w:tcBorders>
              <w:tl2br w:val="nil"/>
              <w:tr2bl w:val="nil"/>
            </w:tcBorders>
            <w:shd w:val="clear" w:color="auto" w:fill="CCDDF3"/>
            <w:noWrap/>
            <w:tcMar>
              <w:top w:w="12" w:type="dxa"/>
              <w:left w:w="12" w:type="dxa"/>
              <w:right w:w="12" w:type="dxa"/>
            </w:tcMar>
            <w:vAlign w:val="center"/>
          </w:tcPr>
          <w:p>
            <w:pPr>
              <w:numPr>
                <w:ilvl w:val="0"/>
                <w:numId w:val="14"/>
              </w:numPr>
              <w:spacing w:line="240" w:lineRule="exact"/>
              <w:rPr>
                <w:rFonts w:ascii="等线" w:hAnsi="等线" w:eastAsia="等线" w:cs="等线"/>
                <w:sz w:val="18"/>
                <w:szCs w:val="18"/>
              </w:rPr>
            </w:pP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FOLFOXIRI+西妥昔单抗</w:t>
            </w:r>
          </w:p>
        </w:tc>
        <w:tc>
          <w:tcPr>
            <w:tcW w:w="53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一线治疗</w:t>
            </w:r>
          </w:p>
        </w:tc>
        <w:tc>
          <w:tcPr>
            <w:tcW w:w="554"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化疗+靶向</w:t>
            </w:r>
          </w:p>
        </w:tc>
        <w:tc>
          <w:tcPr>
            <w:tcW w:w="2605" w:type="pct"/>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初始不可切除转移性结肠癌或同时性转移性直肠癌（原发灶可切除≦中度复发风险，转移瘤不可切除），潜在可切除组，适合强烈治疗（RAS和BRAF均野生型）（2B类III级推荐）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964" w:hRule="atLeast"/>
        </w:trPr>
        <w:tc>
          <w:tcPr>
            <w:tcW w:w="426" w:type="pct"/>
            <w:vMerge w:val="continue"/>
            <w:tcBorders>
              <w:tl2br w:val="nil"/>
              <w:tr2bl w:val="nil"/>
            </w:tcBorders>
            <w:shd w:val="clear" w:color="auto" w:fill="CCDDF3"/>
            <w:vAlign w:val="center"/>
          </w:tcPr>
          <w:p>
            <w:pPr>
              <w:spacing w:line="240" w:lineRule="exact"/>
              <w:jc w:val="center"/>
              <w:rPr>
                <w:rFonts w:ascii="Calibri" w:hAnsi="Calibri" w:eastAsia="宋体"/>
                <w:szCs w:val="24"/>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FOLFOX+贝伐珠单抗</w:t>
            </w:r>
          </w:p>
        </w:tc>
        <w:tc>
          <w:tcPr>
            <w:tcW w:w="536" w:type="pct"/>
            <w:vMerge w:val="restar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一线治疗</w:t>
            </w:r>
          </w:p>
        </w:tc>
        <w:tc>
          <w:tcPr>
            <w:tcW w:w="554" w:type="pct"/>
            <w:vMerge w:val="restar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化疗+抗血管生成</w:t>
            </w:r>
          </w:p>
        </w:tc>
        <w:tc>
          <w:tcPr>
            <w:tcW w:w="2605" w:type="pct"/>
            <w:vMerge w:val="restart"/>
            <w:tcBorders>
              <w:tl2br w:val="nil"/>
              <w:tr2bl w:val="nil"/>
            </w:tcBorders>
            <w:shd w:val="clear" w:color="auto" w:fill="FFFFFF"/>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w:t>
            </w:r>
          </w:p>
          <w:p>
            <w:pPr>
              <w:numPr>
                <w:ilvl w:val="0"/>
                <w:numId w:val="15"/>
              </w:numPr>
              <w:spacing w:line="240" w:lineRule="exact"/>
              <w:rPr>
                <w:rFonts w:ascii="等线" w:hAnsi="等线" w:eastAsia="等线" w:cs="等线"/>
                <w:sz w:val="18"/>
                <w:szCs w:val="18"/>
              </w:rPr>
            </w:pPr>
            <w:r>
              <w:rPr>
                <w:rFonts w:hint="eastAsia" w:ascii="等线" w:hAnsi="等线" w:eastAsia="等线" w:cs="等线"/>
                <w:sz w:val="18"/>
                <w:szCs w:val="18"/>
              </w:rPr>
              <w:t>潜在可切除组，适合强烈治疗（RAS和BRAF均野生型），原发灶位于左侧结直肠（2A类II级推荐），原发灶位于右侧结肠（2A类I级推荐）；</w:t>
            </w:r>
          </w:p>
          <w:p>
            <w:pPr>
              <w:numPr>
                <w:ilvl w:val="0"/>
                <w:numId w:val="15"/>
              </w:numPr>
              <w:spacing w:line="240" w:lineRule="exact"/>
              <w:rPr>
                <w:rFonts w:ascii="等线" w:hAnsi="等线" w:eastAsia="等线" w:cs="等线"/>
                <w:sz w:val="18"/>
                <w:szCs w:val="18"/>
              </w:rPr>
            </w:pPr>
            <w:r>
              <w:rPr>
                <w:rFonts w:hint="eastAsia" w:ascii="等线" w:hAnsi="等线" w:eastAsia="等线" w:cs="等线"/>
                <w:sz w:val="18"/>
                <w:szCs w:val="18"/>
              </w:rPr>
              <w:t>潜在可切除组，适合强烈治疗（RAS或BRAF突变型）（2A类I级推荐）；</w:t>
            </w:r>
          </w:p>
          <w:p>
            <w:pPr>
              <w:numPr>
                <w:ilvl w:val="0"/>
                <w:numId w:val="15"/>
              </w:numPr>
              <w:spacing w:line="240" w:lineRule="exact"/>
              <w:rPr>
                <w:rFonts w:ascii="等线" w:hAnsi="等线" w:eastAsia="等线" w:cs="等线"/>
                <w:sz w:val="18"/>
                <w:szCs w:val="18"/>
              </w:rPr>
            </w:pPr>
            <w:r>
              <w:rPr>
                <w:rFonts w:hint="eastAsia" w:ascii="等线" w:hAnsi="等线" w:eastAsia="等线" w:cs="等线"/>
                <w:sz w:val="18"/>
                <w:szCs w:val="18"/>
              </w:rPr>
              <w:t>姑息治疗组，适合强烈治疗（MSS或MSI-L/pMMR，RAS和BRAF均野生型），原发灶位于左侧结直肠（1A类II级推荐），原发灶位于右侧结肠（1A类I级推荐）；</w:t>
            </w:r>
          </w:p>
          <w:p>
            <w:pPr>
              <w:numPr>
                <w:ilvl w:val="0"/>
                <w:numId w:val="15"/>
              </w:numPr>
              <w:spacing w:line="240" w:lineRule="exact"/>
              <w:rPr>
                <w:rFonts w:ascii="等线" w:hAnsi="等线" w:eastAsia="等线" w:cs="等线"/>
                <w:sz w:val="18"/>
                <w:szCs w:val="18"/>
              </w:rPr>
            </w:pPr>
            <w:r>
              <w:rPr>
                <w:rFonts w:hint="eastAsia" w:ascii="等线" w:hAnsi="等线" w:eastAsia="等线" w:cs="等线"/>
                <w:sz w:val="18"/>
                <w:szCs w:val="18"/>
              </w:rPr>
              <w:t>减量的两药化疗+贝伐珠单抗，用于姑息治疗组，不适合强烈治疗（MSS或MSI-L/pMMR）（2B类II级推荐）；</w:t>
            </w:r>
          </w:p>
          <w:p>
            <w:pPr>
              <w:numPr>
                <w:ilvl w:val="0"/>
                <w:numId w:val="15"/>
              </w:numPr>
              <w:spacing w:line="240" w:lineRule="exact"/>
              <w:rPr>
                <w:rFonts w:ascii="等线" w:hAnsi="等线" w:eastAsia="等线" w:cs="等线"/>
                <w:sz w:val="18"/>
                <w:szCs w:val="18"/>
              </w:rPr>
            </w:pPr>
            <w:r>
              <w:rPr>
                <w:rFonts w:hint="eastAsia" w:ascii="等线" w:hAnsi="等线" w:eastAsia="等线" w:cs="等线"/>
                <w:sz w:val="18"/>
                <w:szCs w:val="18"/>
              </w:rPr>
              <w:t>姑息治疗组，适合强烈治疗（MSS或MSI-L/pMMR，RAS或BRAF突变型）（1A类I级推荐）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964"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FOLFIRI+贝伐珠单抗</w:t>
            </w:r>
          </w:p>
        </w:tc>
        <w:tc>
          <w:tcPr>
            <w:tcW w:w="536" w:type="pct"/>
            <w:vMerge w:val="continue"/>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554" w:type="pct"/>
            <w:vMerge w:val="continue"/>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2605" w:type="pct"/>
            <w:vMerge w:val="continue"/>
            <w:tcBorders>
              <w:tl2br w:val="nil"/>
              <w:tr2bl w:val="nil"/>
            </w:tcBorders>
            <w:shd w:val="clear" w:color="auto" w:fill="FFFFFF"/>
            <w:noWrap/>
            <w:tcMar>
              <w:top w:w="12" w:type="dxa"/>
              <w:left w:w="12" w:type="dxa"/>
              <w:right w:w="12" w:type="dxa"/>
            </w:tcMar>
            <w:vAlign w:val="center"/>
          </w:tcPr>
          <w:p>
            <w:pPr>
              <w:numPr>
                <w:ilvl w:val="0"/>
                <w:numId w:val="16"/>
              </w:numPr>
              <w:spacing w:line="240" w:lineRule="exact"/>
              <w:rPr>
                <w:rFonts w:ascii="等线" w:hAnsi="等线" w:eastAsia="等线" w:cs="等线"/>
                <w:sz w:val="18"/>
                <w:szCs w:val="18"/>
                <w:lang w:bidi="ar"/>
              </w:rPr>
            </w:pP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964" w:hRule="atLeast"/>
        </w:trPr>
        <w:tc>
          <w:tcPr>
            <w:tcW w:w="426" w:type="pct"/>
            <w:vMerge w:val="continue"/>
            <w:tcBorders>
              <w:tl2br w:val="nil"/>
              <w:tr2bl w:val="nil"/>
            </w:tcBorders>
            <w:shd w:val="clear" w:color="auto" w:fill="CCDDF3"/>
            <w:vAlign w:val="center"/>
          </w:tcPr>
          <w:p>
            <w:pPr>
              <w:spacing w:line="240" w:lineRule="exact"/>
              <w:jc w:val="center"/>
              <w:rPr>
                <w:rFonts w:ascii="Calibri" w:hAnsi="Calibri" w:eastAsia="宋体"/>
                <w:szCs w:val="24"/>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CAPEOX+贝伐珠单抗</w:t>
            </w:r>
          </w:p>
        </w:tc>
        <w:tc>
          <w:tcPr>
            <w:tcW w:w="536" w:type="pct"/>
            <w:vMerge w:val="continue"/>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554" w:type="pct"/>
            <w:vMerge w:val="continue"/>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2605" w:type="pct"/>
            <w:vMerge w:val="continue"/>
            <w:tcBorders>
              <w:tl2br w:val="nil"/>
              <w:tr2bl w:val="nil"/>
            </w:tcBorders>
            <w:shd w:val="clear" w:color="auto" w:fill="FFFFFF"/>
            <w:noWrap/>
            <w:tcMar>
              <w:top w:w="12" w:type="dxa"/>
              <w:left w:w="12" w:type="dxa"/>
              <w:right w:w="12" w:type="dxa"/>
            </w:tcMar>
            <w:vAlign w:val="center"/>
          </w:tcPr>
          <w:p>
            <w:pPr>
              <w:numPr>
                <w:ilvl w:val="0"/>
                <w:numId w:val="17"/>
              </w:numPr>
              <w:spacing w:line="240" w:lineRule="exact"/>
              <w:rPr>
                <w:rFonts w:ascii="等线" w:hAnsi="等线" w:eastAsia="等线" w:cs="等线"/>
                <w:sz w:val="18"/>
                <w:szCs w:val="18"/>
                <w:lang w:bidi="ar"/>
              </w:rPr>
            </w:pP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spacing w:line="240" w:lineRule="exact"/>
              <w:jc w:val="center"/>
              <w:rPr>
                <w:rFonts w:ascii="等线" w:hAnsi="等线" w:eastAsia="等线" w:cs="等线"/>
                <w:sz w:val="18"/>
                <w:szCs w:val="18"/>
                <w:lang w:bidi="ar"/>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FOLFOXIRI±贝伐珠单抗</w:t>
            </w:r>
          </w:p>
        </w:tc>
        <w:tc>
          <w:tcPr>
            <w:tcW w:w="53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一线治疗</w:t>
            </w:r>
          </w:p>
        </w:tc>
        <w:tc>
          <w:tcPr>
            <w:tcW w:w="554"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化疗±抗血管生成</w:t>
            </w:r>
          </w:p>
        </w:tc>
        <w:tc>
          <w:tcPr>
            <w:tcW w:w="2605" w:type="pct"/>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w:t>
            </w:r>
          </w:p>
          <w:p>
            <w:pPr>
              <w:numPr>
                <w:ilvl w:val="0"/>
                <w:numId w:val="18"/>
              </w:numPr>
              <w:spacing w:line="240" w:lineRule="exact"/>
              <w:rPr>
                <w:rFonts w:ascii="等线" w:hAnsi="等线" w:eastAsia="等线" w:cs="等线"/>
                <w:sz w:val="18"/>
                <w:szCs w:val="18"/>
              </w:rPr>
            </w:pPr>
            <w:r>
              <w:rPr>
                <w:rFonts w:hint="eastAsia" w:ascii="等线" w:hAnsi="等线" w:eastAsia="等线" w:cs="等线"/>
                <w:sz w:val="18"/>
                <w:szCs w:val="18"/>
              </w:rPr>
              <w:t>潜在可切除组，适合强烈治疗（RAS和BRAF均野生型），原发灶位于左侧结直肠（2A类II级推荐），原发灶位于右侧结肠（2A类I级推荐）；</w:t>
            </w:r>
          </w:p>
          <w:p>
            <w:pPr>
              <w:numPr>
                <w:ilvl w:val="0"/>
                <w:numId w:val="18"/>
              </w:numPr>
              <w:spacing w:line="240" w:lineRule="exact"/>
              <w:rPr>
                <w:rFonts w:ascii="等线" w:hAnsi="等线" w:eastAsia="等线" w:cs="等线"/>
                <w:sz w:val="18"/>
                <w:szCs w:val="18"/>
              </w:rPr>
            </w:pPr>
            <w:r>
              <w:rPr>
                <w:rFonts w:hint="eastAsia" w:ascii="等线" w:hAnsi="等线" w:eastAsia="等线" w:cs="等线"/>
                <w:sz w:val="18"/>
                <w:szCs w:val="18"/>
              </w:rPr>
              <w:t>潜在可切除组，适合强烈治疗（RAS或BRAF突变型）（2A类I级推荐）；</w:t>
            </w:r>
          </w:p>
          <w:p>
            <w:pPr>
              <w:numPr>
                <w:ilvl w:val="0"/>
                <w:numId w:val="18"/>
              </w:numPr>
              <w:spacing w:line="240" w:lineRule="exact"/>
              <w:rPr>
                <w:rFonts w:ascii="等线" w:hAnsi="等线" w:eastAsia="等线" w:cs="等线"/>
                <w:sz w:val="18"/>
                <w:szCs w:val="18"/>
                <w:lang w:bidi="ar"/>
              </w:rPr>
            </w:pPr>
            <w:r>
              <w:rPr>
                <w:rFonts w:hint="eastAsia" w:ascii="等线" w:hAnsi="等线" w:eastAsia="等线" w:cs="等线"/>
                <w:sz w:val="18"/>
                <w:szCs w:val="18"/>
                <w:lang w:bidi="ar"/>
              </w:rPr>
              <w:t>姑息治疗组，适合强烈治疗（MSS或MSI-L/pMMR）（1B类II级推荐）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氟尿嘧啶类单药</w:t>
            </w:r>
            <w:r>
              <w:rPr>
                <w:rFonts w:hint="eastAsia" w:ascii="等线" w:hAnsi="等线" w:eastAsia="等线" w:cs="等线"/>
                <w:sz w:val="18"/>
                <w:szCs w:val="18"/>
                <w:lang w:val="en-US" w:eastAsia="zh-CN" w:bidi="ar"/>
              </w:rPr>
              <w:t>+</w:t>
            </w:r>
            <w:r>
              <w:rPr>
                <w:rFonts w:hint="eastAsia" w:ascii="等线" w:hAnsi="等线" w:eastAsia="等线" w:cs="等线"/>
                <w:sz w:val="18"/>
                <w:szCs w:val="18"/>
                <w:lang w:bidi="ar"/>
              </w:rPr>
              <w:t>贝伐珠单抗</w:t>
            </w:r>
          </w:p>
        </w:tc>
        <w:tc>
          <w:tcPr>
            <w:tcW w:w="53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一线治疗</w:t>
            </w:r>
          </w:p>
        </w:tc>
        <w:tc>
          <w:tcPr>
            <w:tcW w:w="554"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化疗±抗血管生成</w:t>
            </w:r>
          </w:p>
        </w:tc>
        <w:tc>
          <w:tcPr>
            <w:tcW w:w="2605" w:type="pct"/>
            <w:tcBorders>
              <w:tl2br w:val="nil"/>
              <w:tr2bl w:val="nil"/>
            </w:tcBorders>
            <w:shd w:val="clear" w:color="auto" w:fill="FFFFFF"/>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初始不可切除转移性结肠癌或同时性转移性直肠癌（原发灶可切除≦中度复发风险，转移瘤不可切除），姑息治疗组，不适合强烈治疗（MSS或MSI-L/pMMR）（1A类I级推荐）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hint="eastAsia" w:ascii="等线" w:hAnsi="等线" w:eastAsia="等线" w:cs="等线"/>
                <w:sz w:val="18"/>
                <w:szCs w:val="18"/>
                <w:lang w:bidi="ar"/>
              </w:rPr>
            </w:pPr>
            <w:r>
              <w:rPr>
                <w:rFonts w:hint="eastAsia" w:ascii="等线" w:hAnsi="等线" w:eastAsia="等线" w:cs="等线"/>
                <w:sz w:val="18"/>
                <w:szCs w:val="18"/>
                <w:lang w:bidi="ar"/>
              </w:rPr>
              <w:t>曲氟尿苷替匹嘧啶+贝伐珠单抗</w:t>
            </w:r>
          </w:p>
        </w:tc>
        <w:tc>
          <w:tcPr>
            <w:tcW w:w="536" w:type="pct"/>
            <w:tcBorders>
              <w:tl2br w:val="nil"/>
              <w:tr2bl w:val="nil"/>
            </w:tcBorders>
            <w:shd w:val="clear" w:color="auto" w:fill="CCDDF3"/>
            <w:noWrap/>
            <w:tcMar>
              <w:top w:w="12" w:type="dxa"/>
              <w:left w:w="12" w:type="dxa"/>
              <w:right w:w="12" w:type="dxa"/>
            </w:tcMar>
            <w:vAlign w:val="center"/>
          </w:tcPr>
          <w:p>
            <w:pPr>
              <w:spacing w:line="240" w:lineRule="exact"/>
              <w:jc w:val="center"/>
              <w:rPr>
                <w:rFonts w:hint="eastAsia" w:ascii="等线" w:hAnsi="等线" w:eastAsia="等线" w:cs="等线"/>
                <w:sz w:val="18"/>
                <w:szCs w:val="18"/>
                <w:lang w:bidi="ar"/>
              </w:rPr>
            </w:pPr>
            <w:r>
              <w:rPr>
                <w:rFonts w:hint="eastAsia" w:ascii="等线" w:hAnsi="等线" w:eastAsia="等线" w:cs="等线"/>
                <w:sz w:val="18"/>
                <w:szCs w:val="18"/>
                <w:lang w:bidi="ar"/>
              </w:rPr>
              <w:t>一线治疗</w:t>
            </w:r>
          </w:p>
        </w:tc>
        <w:tc>
          <w:tcPr>
            <w:tcW w:w="554" w:type="pct"/>
            <w:tcBorders>
              <w:tl2br w:val="nil"/>
              <w:tr2bl w:val="nil"/>
            </w:tcBorders>
            <w:shd w:val="clear" w:color="auto" w:fill="CCDDF3"/>
            <w:noWrap/>
            <w:tcMar>
              <w:top w:w="12" w:type="dxa"/>
              <w:left w:w="12" w:type="dxa"/>
              <w:right w:w="12" w:type="dxa"/>
            </w:tcMar>
            <w:vAlign w:val="center"/>
          </w:tcPr>
          <w:p>
            <w:pPr>
              <w:spacing w:line="240" w:lineRule="exact"/>
              <w:jc w:val="center"/>
              <w:rPr>
                <w:rFonts w:hint="eastAsia" w:ascii="等线" w:hAnsi="等线" w:eastAsia="等线" w:cs="等线"/>
                <w:sz w:val="18"/>
                <w:szCs w:val="18"/>
                <w:lang w:bidi="ar"/>
              </w:rPr>
            </w:pPr>
            <w:r>
              <w:rPr>
                <w:rFonts w:hint="eastAsia" w:ascii="等线" w:hAnsi="等线" w:eastAsia="等线" w:cs="等线"/>
                <w:sz w:val="18"/>
                <w:szCs w:val="18"/>
                <w:lang w:bidi="ar"/>
              </w:rPr>
              <w:t>化疗</w:t>
            </w:r>
            <w:r>
              <w:rPr>
                <w:rFonts w:hint="eastAsia" w:ascii="等线" w:hAnsi="等线" w:eastAsia="等线" w:cs="等线"/>
                <w:sz w:val="18"/>
                <w:szCs w:val="18"/>
                <w:lang w:val="en-US" w:eastAsia="zh-CN" w:bidi="ar"/>
              </w:rPr>
              <w:t>+</w:t>
            </w:r>
            <w:r>
              <w:rPr>
                <w:rFonts w:hint="eastAsia" w:ascii="等线" w:hAnsi="等线" w:eastAsia="等线" w:cs="等线"/>
                <w:sz w:val="18"/>
                <w:szCs w:val="18"/>
                <w:lang w:bidi="ar"/>
              </w:rPr>
              <w:t>抗血管生成</w:t>
            </w:r>
          </w:p>
        </w:tc>
        <w:tc>
          <w:tcPr>
            <w:tcW w:w="2605" w:type="pct"/>
            <w:tcBorders>
              <w:tl2br w:val="nil"/>
              <w:tr2bl w:val="nil"/>
            </w:tcBorders>
            <w:shd w:val="clear" w:color="auto" w:fill="CCDDF3"/>
            <w:noWrap/>
            <w:tcMar>
              <w:top w:w="12" w:type="dxa"/>
              <w:left w:w="12" w:type="dxa"/>
              <w:right w:w="12" w:type="dxa"/>
            </w:tcMar>
            <w:vAlign w:val="center"/>
          </w:tcPr>
          <w:p>
            <w:pPr>
              <w:spacing w:line="240" w:lineRule="exact"/>
              <w:rPr>
                <w:rFonts w:hint="eastAsia"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初始不可切除转移性结肠癌或同时性转移性直肠癌（原发灶可切除≦中度复发风险，转移瘤不可切除），姑息治疗组，不适合强烈治疗（MSS或MSI-L/pMMR）（2B类III级推荐）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FOLFIRI±靶向药物（西妥昔单抗或贝伐珠单抗）</w:t>
            </w:r>
          </w:p>
        </w:tc>
        <w:tc>
          <w:tcPr>
            <w:tcW w:w="53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二线治疗</w:t>
            </w:r>
          </w:p>
        </w:tc>
        <w:tc>
          <w:tcPr>
            <w:tcW w:w="554"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化疗±靶向/抗血管生成</w:t>
            </w:r>
          </w:p>
        </w:tc>
        <w:tc>
          <w:tcPr>
            <w:tcW w:w="2605" w:type="pct"/>
            <w:tcBorders>
              <w:tl2br w:val="nil"/>
              <w:tr2bl w:val="nil"/>
            </w:tcBorders>
            <w:shd w:val="clear" w:color="auto" w:fill="FFFFFF"/>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一线接受奥沙利铂治疗（MSS或MSI-L/pMMR，RAS和BRAF均野生型），或一线未接受伊立替康或奥沙利铂治疗（MSS或MSI-L/pMMR）（2A类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伊立替康+西妥昔单抗</w:t>
            </w:r>
          </w:p>
        </w:tc>
        <w:tc>
          <w:tcPr>
            <w:tcW w:w="53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二线治疗</w:t>
            </w:r>
          </w:p>
        </w:tc>
        <w:tc>
          <w:tcPr>
            <w:tcW w:w="554"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化疗+靶向</w:t>
            </w:r>
          </w:p>
        </w:tc>
        <w:tc>
          <w:tcPr>
            <w:tcW w:w="2605" w:type="pct"/>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初始不可切除转移性结肠癌或同时性转移性直肠癌（原发灶可切除≦中度复发风险，转移瘤不可切除），姑息治疗组，一线接受奥沙利铂/伊立替康治疗（MSS或MSI-L/pMMR，RAS和BRAF均野生型）（2A类II级推荐）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伊立替康+雷替曲塞</w:t>
            </w:r>
          </w:p>
        </w:tc>
        <w:tc>
          <w:tcPr>
            <w:tcW w:w="53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二线治疗</w:t>
            </w:r>
          </w:p>
        </w:tc>
        <w:tc>
          <w:tcPr>
            <w:tcW w:w="554"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w:t>
            </w:r>
          </w:p>
        </w:tc>
        <w:tc>
          <w:tcPr>
            <w:tcW w:w="2605" w:type="pct"/>
            <w:tcBorders>
              <w:tl2br w:val="nil"/>
              <w:tr2bl w:val="nil"/>
            </w:tcBorders>
            <w:shd w:val="clear" w:color="auto" w:fill="FFFFFF"/>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一线接受奥沙利铂治疗或一线未接受伊立替康或奥沙利铂治疗（MSS或MSI-L/pMMR），氟尿嘧啶类不耐受（2A类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伊立替康+卡培他滨±贝伐珠单抗</w:t>
            </w:r>
          </w:p>
        </w:tc>
        <w:tc>
          <w:tcPr>
            <w:tcW w:w="53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二线治疗</w:t>
            </w:r>
          </w:p>
        </w:tc>
        <w:tc>
          <w:tcPr>
            <w:tcW w:w="554"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化疗±抗血管生成</w:t>
            </w:r>
          </w:p>
        </w:tc>
        <w:tc>
          <w:tcPr>
            <w:tcW w:w="2605" w:type="pct"/>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一线接受奥沙利铂治疗或一线未接受伊立替康或奥沙利铂治疗（MSS或MSI-L/pMMR）（1B类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FOLFOX±靶向药物（西妥昔单抗或贝伐珠单抗）</w:t>
            </w:r>
          </w:p>
        </w:tc>
        <w:tc>
          <w:tcPr>
            <w:tcW w:w="53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二线治疗</w:t>
            </w:r>
          </w:p>
        </w:tc>
        <w:tc>
          <w:tcPr>
            <w:tcW w:w="554"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化疗±靶向/抗血管生成</w:t>
            </w:r>
          </w:p>
        </w:tc>
        <w:tc>
          <w:tcPr>
            <w:tcW w:w="2605" w:type="pct"/>
            <w:tcBorders>
              <w:tl2br w:val="nil"/>
              <w:tr2bl w:val="nil"/>
            </w:tcBorders>
            <w:shd w:val="clear" w:color="auto" w:fill="FFFFFF"/>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一线接受伊立替康治疗（MSS或MSI-L/pMMR，RAS和BRAF均野生型），或一线未接受伊立替康或奥沙利铂治疗（MSS或MSI-L/pMMR）（2A类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CAPEOX±贝伐珠单抗</w:t>
            </w:r>
          </w:p>
        </w:tc>
        <w:tc>
          <w:tcPr>
            <w:tcW w:w="53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二线治疗</w:t>
            </w:r>
          </w:p>
        </w:tc>
        <w:tc>
          <w:tcPr>
            <w:tcW w:w="554"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化疗±抗血管生成</w:t>
            </w:r>
          </w:p>
        </w:tc>
        <w:tc>
          <w:tcPr>
            <w:tcW w:w="2605" w:type="pct"/>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一线接受伊立替康治疗（MSS或MSI-L/pMMR）（1A类I级推荐），或一线未接受伊立替康或奥沙利铂治疗（MSS或MSI-L/pMMR）（2A类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奥沙利铂+雷替曲塞</w:t>
            </w:r>
          </w:p>
        </w:tc>
        <w:tc>
          <w:tcPr>
            <w:tcW w:w="53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二线治疗</w:t>
            </w:r>
          </w:p>
        </w:tc>
        <w:tc>
          <w:tcPr>
            <w:tcW w:w="554"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w:t>
            </w:r>
          </w:p>
        </w:tc>
        <w:tc>
          <w:tcPr>
            <w:tcW w:w="2605" w:type="pct"/>
            <w:tcBorders>
              <w:tl2br w:val="nil"/>
              <w:tr2bl w:val="nil"/>
            </w:tcBorders>
            <w:shd w:val="clear" w:color="auto" w:fill="FFFFFF"/>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一线接受伊立替康治疗或一线未接受伊立替康或奥沙利铂治疗（MSS或MSI-L/pMMR），氟尿嘧啶类不耐受（2A类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FOLFIRI±贝伐珠单抗</w:t>
            </w:r>
          </w:p>
        </w:tc>
        <w:tc>
          <w:tcPr>
            <w:tcW w:w="53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二线治疗</w:t>
            </w:r>
          </w:p>
        </w:tc>
        <w:tc>
          <w:tcPr>
            <w:tcW w:w="554"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化疗±抗血管生成</w:t>
            </w:r>
          </w:p>
        </w:tc>
        <w:tc>
          <w:tcPr>
            <w:tcW w:w="2605" w:type="pct"/>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初始不可切除转移性结肠癌或同时性转移性直肠癌（原发灶可切除≦中度复发风险，转移瘤不可切除），姑息治疗组，一线接受奥沙利铂治疗（MSS或MSI-L/pMMR，RAS或BRAF突变型）（1A类I级推荐）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伊立替康+贝伐珠单抗</w:t>
            </w:r>
          </w:p>
        </w:tc>
        <w:tc>
          <w:tcPr>
            <w:tcW w:w="53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二线治疗</w:t>
            </w:r>
          </w:p>
        </w:tc>
        <w:tc>
          <w:tcPr>
            <w:tcW w:w="554"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化疗+抗血管生成</w:t>
            </w:r>
          </w:p>
        </w:tc>
        <w:tc>
          <w:tcPr>
            <w:tcW w:w="2605" w:type="pct"/>
            <w:tcBorders>
              <w:tl2br w:val="nil"/>
              <w:tr2bl w:val="nil"/>
            </w:tcBorders>
            <w:shd w:val="clear" w:color="auto" w:fill="FFFFFF"/>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初始不可切除转移性结肠癌或同时性转移性直肠癌（原发灶可切除≦中度复发风险，转移瘤不可切除），姑息治疗组，一线接受奥沙利铂治疗（MSS或MSI-L/pMMR，RAS或BRAF突变型）（2A类II级推荐）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伊立替康+西妥昔单抗+维莫非尼</w:t>
            </w:r>
          </w:p>
        </w:tc>
        <w:tc>
          <w:tcPr>
            <w:tcW w:w="53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二线治疗</w:t>
            </w:r>
          </w:p>
        </w:tc>
        <w:tc>
          <w:tcPr>
            <w:tcW w:w="554"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化疗+靶向</w:t>
            </w:r>
          </w:p>
        </w:tc>
        <w:tc>
          <w:tcPr>
            <w:tcW w:w="2605" w:type="pct"/>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初始不可切除转移性结肠癌或同时性转移性直肠癌（原发灶可切除≦中度复发风险，转移瘤不可切除），姑息治疗组，一线接受奥沙利铂治疗或一线未接受伊立替康或奥沙利铂治疗（MSS或MSI-L/pMMR，RAS野生/BRAF V600E突变）（2B类III级推荐）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FOLFOX±贝伐珠单抗</w:t>
            </w:r>
          </w:p>
        </w:tc>
        <w:tc>
          <w:tcPr>
            <w:tcW w:w="53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二线治疗</w:t>
            </w:r>
          </w:p>
        </w:tc>
        <w:tc>
          <w:tcPr>
            <w:tcW w:w="554"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化疗±抗血管生成</w:t>
            </w:r>
          </w:p>
        </w:tc>
        <w:tc>
          <w:tcPr>
            <w:tcW w:w="2605" w:type="pct"/>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初始不可切除转移性结肠癌或同时性转移性直肠癌（原发灶可切除≦中度复发风险，转移瘤不可切除），姑息治疗组，一线接受伊立替康治疗（MSS或MSI-L/pMMR，RAS或BRAF突变型）（1A类I级推荐）</w:t>
            </w:r>
          </w:p>
        </w:tc>
      </w:tr>
      <w:tr>
        <w:tblPrEx>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伊立替康</w:t>
            </w:r>
            <w:r>
              <w:rPr>
                <w:rFonts w:hint="eastAsia" w:ascii="等线" w:hAnsi="等线" w:eastAsia="等线" w:cs="等线"/>
                <w:sz w:val="18"/>
                <w:szCs w:val="18"/>
                <w:lang w:val="en-US" w:eastAsia="zh-CN" w:bidi="ar"/>
              </w:rPr>
              <w:t>+</w:t>
            </w:r>
            <w:r>
              <w:rPr>
                <w:rFonts w:hint="eastAsia" w:ascii="等线" w:hAnsi="等线" w:eastAsia="等线" w:cs="等线"/>
                <w:sz w:val="18"/>
                <w:szCs w:val="18"/>
                <w:lang w:bidi="ar"/>
              </w:rPr>
              <w:t>靶向药物（西妥昔单抗或贝伐珠单抗）</w:t>
            </w:r>
          </w:p>
        </w:tc>
        <w:tc>
          <w:tcPr>
            <w:tcW w:w="53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二线治疗</w:t>
            </w:r>
          </w:p>
        </w:tc>
        <w:tc>
          <w:tcPr>
            <w:tcW w:w="554"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w:t>
            </w:r>
            <w:r>
              <w:rPr>
                <w:rFonts w:hint="eastAsia" w:ascii="等线" w:hAnsi="等线" w:eastAsia="等线" w:cs="等线"/>
                <w:sz w:val="18"/>
                <w:szCs w:val="18"/>
                <w:lang w:val="en-US" w:eastAsia="zh-CN" w:bidi="ar"/>
              </w:rPr>
              <w:t>+</w:t>
            </w:r>
            <w:r>
              <w:rPr>
                <w:rFonts w:hint="eastAsia" w:ascii="等线" w:hAnsi="等线" w:eastAsia="等线" w:cs="等线"/>
                <w:sz w:val="18"/>
                <w:szCs w:val="18"/>
                <w:lang w:bidi="ar"/>
              </w:rPr>
              <w:t>靶向/抗血管生成</w:t>
            </w:r>
          </w:p>
        </w:tc>
        <w:tc>
          <w:tcPr>
            <w:tcW w:w="2605" w:type="pct"/>
            <w:tcBorders>
              <w:tl2br w:val="nil"/>
              <w:tr2bl w:val="nil"/>
            </w:tcBorders>
            <w:shd w:val="clear" w:color="auto" w:fill="FFFFFF"/>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初始不可切除转移性结肠癌或同时性转移性直肠癌（原发灶可切除≦中度复发风险，转移瘤不可切除），姑息治疗组，一线未接受伊立替康或奥沙利铂治疗（MSS或MSI-L/pMMR）（2A类II级推荐）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西妥昔单抗</w:t>
            </w:r>
            <w:r>
              <w:rPr>
                <w:rFonts w:hint="eastAsia" w:ascii="等线" w:hAnsi="等线" w:eastAsia="等线" w:cs="等线"/>
                <w:sz w:val="18"/>
                <w:szCs w:val="18"/>
                <w:lang w:val="en-US" w:eastAsia="zh-CN" w:bidi="ar"/>
              </w:rPr>
              <w:t>+</w:t>
            </w:r>
            <w:r>
              <w:rPr>
                <w:rFonts w:hint="eastAsia" w:ascii="等线" w:hAnsi="等线" w:eastAsia="等线" w:cs="等线"/>
                <w:sz w:val="18"/>
                <w:szCs w:val="18"/>
                <w:lang w:bidi="ar"/>
              </w:rPr>
              <w:t>伊立替康</w:t>
            </w:r>
          </w:p>
        </w:tc>
        <w:tc>
          <w:tcPr>
            <w:tcW w:w="53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三线治疗</w:t>
            </w:r>
          </w:p>
        </w:tc>
        <w:tc>
          <w:tcPr>
            <w:tcW w:w="554"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靶向</w:t>
            </w:r>
            <w:r>
              <w:rPr>
                <w:rFonts w:hint="eastAsia" w:ascii="等线" w:hAnsi="等线" w:eastAsia="等线" w:cs="等线"/>
                <w:sz w:val="18"/>
                <w:szCs w:val="18"/>
                <w:lang w:val="en-US" w:eastAsia="zh-CN" w:bidi="ar"/>
              </w:rPr>
              <w:t>+</w:t>
            </w:r>
            <w:r>
              <w:rPr>
                <w:rFonts w:hint="eastAsia" w:ascii="等线" w:hAnsi="等线" w:eastAsia="等线" w:cs="等线"/>
                <w:sz w:val="18"/>
                <w:szCs w:val="18"/>
                <w:lang w:bidi="ar"/>
              </w:rPr>
              <w:t>化疗</w:t>
            </w:r>
          </w:p>
        </w:tc>
        <w:tc>
          <w:tcPr>
            <w:tcW w:w="2605" w:type="pct"/>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已接受过奥沙利铂和伊立替康治疗（MSS或MSI-L/pMMR，RAS和BRAF均野生型），之前未行西妥昔单抗治疗（1A类I级推荐），之前接受过西妥昔单抗治疗（3类I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454"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瑞戈非尼</w:t>
            </w:r>
          </w:p>
        </w:tc>
        <w:tc>
          <w:tcPr>
            <w:tcW w:w="536" w:type="pct"/>
            <w:vMerge w:val="restar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三线治疗</w:t>
            </w:r>
          </w:p>
        </w:tc>
        <w:tc>
          <w:tcPr>
            <w:tcW w:w="554" w:type="pct"/>
            <w:vMerge w:val="restart"/>
            <w:tcBorders>
              <w:tl2br w:val="nil"/>
              <w:tr2bl w:val="nil"/>
            </w:tcBorders>
            <w:shd w:val="clear" w:color="auto" w:fill="FFFFFF"/>
            <w:noWrap/>
            <w:tcMar>
              <w:top w:w="12" w:type="dxa"/>
              <w:left w:w="12" w:type="dxa"/>
              <w:right w:w="12" w:type="dxa"/>
            </w:tcMar>
            <w:vAlign w:val="center"/>
          </w:tcPr>
          <w:p>
            <w:pPr>
              <w:spacing w:line="240" w:lineRule="exact"/>
              <w:jc w:val="center"/>
              <w:rPr>
                <w:rFonts w:hint="eastAsia" w:ascii="等线" w:hAnsi="等线" w:eastAsia="等线" w:cs="等线"/>
                <w:sz w:val="18"/>
                <w:szCs w:val="18"/>
                <w:lang w:bidi="ar"/>
              </w:rPr>
            </w:pPr>
            <w:r>
              <w:rPr>
                <w:rFonts w:hint="eastAsia" w:ascii="等线" w:hAnsi="等线" w:eastAsia="等线" w:cs="等线"/>
                <w:sz w:val="18"/>
                <w:szCs w:val="18"/>
                <w:lang w:bidi="ar"/>
              </w:rPr>
              <w:t>抗血管生成</w:t>
            </w:r>
          </w:p>
        </w:tc>
        <w:tc>
          <w:tcPr>
            <w:tcW w:w="2605" w:type="pct"/>
            <w:vMerge w:val="restart"/>
            <w:tcBorders>
              <w:tl2br w:val="nil"/>
              <w:tr2bl w:val="nil"/>
            </w:tcBorders>
            <w:shd w:val="clear" w:color="auto" w:fill="FFFFFF"/>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初始不可切除转移性结肠癌或同时性转移性直肠癌（原发灶可切除≦中度复发风险，转移瘤不可切除），姑息治疗组，已接受过奥沙利铂和伊立替康治疗（MSS或MSI-L/pMMR）（1A类I级推荐）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454"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呋喹替尼</w:t>
            </w:r>
          </w:p>
        </w:tc>
        <w:tc>
          <w:tcPr>
            <w:tcW w:w="536" w:type="pct"/>
            <w:vMerge w:val="continue"/>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554" w:type="pct"/>
            <w:vMerge w:val="continue"/>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2605" w:type="pct"/>
            <w:vMerge w:val="continue"/>
            <w:tcBorders>
              <w:tl2br w:val="nil"/>
              <w:tr2bl w:val="nil"/>
            </w:tcBorders>
            <w:shd w:val="clear" w:color="auto" w:fill="FFFFFF"/>
            <w:noWrap/>
            <w:tcMar>
              <w:top w:w="12" w:type="dxa"/>
              <w:left w:w="12" w:type="dxa"/>
              <w:right w:w="12" w:type="dxa"/>
            </w:tcMar>
            <w:vAlign w:val="center"/>
          </w:tcPr>
          <w:p>
            <w:pPr>
              <w:numPr>
                <w:ilvl w:val="0"/>
                <w:numId w:val="19"/>
              </w:numPr>
              <w:spacing w:line="240" w:lineRule="exact"/>
              <w:rPr>
                <w:rFonts w:ascii="等线" w:hAnsi="等线" w:eastAsia="等线" w:cs="等线"/>
                <w:sz w:val="18"/>
                <w:szCs w:val="18"/>
              </w:rPr>
            </w:pP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曲氟尿苷替匹嘧啶+贝伐珠单抗</w:t>
            </w:r>
          </w:p>
        </w:tc>
        <w:tc>
          <w:tcPr>
            <w:tcW w:w="53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三线治疗</w:t>
            </w:r>
          </w:p>
        </w:tc>
        <w:tc>
          <w:tcPr>
            <w:tcW w:w="554"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化疗+抗血管生成</w:t>
            </w:r>
          </w:p>
        </w:tc>
        <w:tc>
          <w:tcPr>
            <w:tcW w:w="2605" w:type="pct"/>
            <w:tcBorders>
              <w:tl2br w:val="nil"/>
              <w:tr2bl w:val="nil"/>
            </w:tcBorders>
            <w:shd w:val="clear" w:color="auto" w:fill="FFFFFF"/>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初始不可切除转移性结肠癌或同时性转移性直肠癌（原发灶可切除≦中度复发风险，转移瘤不可切除），姑息治疗组，已接受过奥沙利铂和伊立替康治疗（MSS或MSI-L/pMMR）（2</w:t>
            </w:r>
            <w:r>
              <w:rPr>
                <w:rFonts w:hint="eastAsia" w:ascii="等线" w:hAnsi="等线" w:eastAsia="等线" w:cs="等线"/>
                <w:sz w:val="18"/>
                <w:szCs w:val="18"/>
                <w:lang w:val="en-US" w:eastAsia="zh-CN"/>
              </w:rPr>
              <w:t>A</w:t>
            </w:r>
            <w:r>
              <w:rPr>
                <w:rFonts w:hint="eastAsia" w:ascii="等线" w:hAnsi="等线" w:eastAsia="等线" w:cs="等线"/>
                <w:sz w:val="18"/>
                <w:szCs w:val="18"/>
              </w:rPr>
              <w:t>类II级推荐）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rPr>
            </w:pPr>
            <w:r>
              <w:rPr>
                <w:rFonts w:hint="eastAsia" w:ascii="等线" w:hAnsi="等线" w:eastAsia="等线" w:cs="等线"/>
                <w:sz w:val="18"/>
                <w:szCs w:val="18"/>
              </w:rPr>
              <w:t>伊立替康+西妥昔单抗+维莫非尼</w:t>
            </w:r>
          </w:p>
        </w:tc>
        <w:tc>
          <w:tcPr>
            <w:tcW w:w="53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rPr>
            </w:pPr>
            <w:r>
              <w:rPr>
                <w:rFonts w:hint="eastAsia" w:ascii="等线" w:hAnsi="等线" w:eastAsia="等线" w:cs="等线"/>
                <w:sz w:val="18"/>
                <w:szCs w:val="18"/>
                <w:lang w:bidi="ar"/>
              </w:rPr>
              <w:t>三线治疗</w:t>
            </w:r>
          </w:p>
        </w:tc>
        <w:tc>
          <w:tcPr>
            <w:tcW w:w="554"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rPr>
            </w:pPr>
            <w:r>
              <w:rPr>
                <w:rFonts w:hint="eastAsia" w:ascii="等线" w:hAnsi="等线" w:eastAsia="等线" w:cs="等线"/>
                <w:sz w:val="18"/>
                <w:szCs w:val="18"/>
                <w:lang w:bidi="ar"/>
              </w:rPr>
              <w:t>化疗+靶向</w:t>
            </w:r>
          </w:p>
        </w:tc>
        <w:tc>
          <w:tcPr>
            <w:tcW w:w="2605" w:type="pct"/>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初始不可切除转移性结肠癌或同时性转移性直肠癌（原发灶可切除≦中度复发风险，转移瘤不可切除），姑息治疗组，已接受过奥沙利铂和伊立替康治疗（MSS或MSI-L/pMMR，RAS野生/BRAF V600E突变）（2B类III级推荐）</w:t>
            </w:r>
          </w:p>
        </w:tc>
      </w:tr>
    </w:tbl>
    <w:p>
      <w:pPr>
        <w:rPr>
          <w:rFonts w:hint="eastAsia"/>
          <w:sz w:val="20"/>
          <w:szCs w:val="21"/>
        </w:rPr>
      </w:pPr>
      <w:r>
        <w:rPr>
          <w:rFonts w:hint="eastAsia"/>
          <w:sz w:val="20"/>
          <w:szCs w:val="21"/>
        </w:rPr>
        <w:t>说明：</w:t>
      </w:r>
    </w:p>
    <w:p>
      <w:pPr>
        <w:rPr>
          <w:rFonts w:hint="eastAsia"/>
        </w:rPr>
      </w:pPr>
      <w:r>
        <w:rPr>
          <w:rFonts w:hint="eastAsia"/>
          <w:sz w:val="20"/>
          <w:szCs w:val="21"/>
        </w:rPr>
        <w:t>上述表格来源于中国临床肿瘤学会（CSCO）</w:t>
      </w:r>
      <w:r>
        <w:rPr>
          <w:rFonts w:hint="eastAsia"/>
          <w:sz w:val="20"/>
          <w:szCs w:val="21"/>
          <w:lang w:val="en-US" w:eastAsia="zh-CN"/>
        </w:rPr>
        <w:t>结直肠</w:t>
      </w:r>
      <w:r>
        <w:rPr>
          <w:rFonts w:hint="eastAsia"/>
          <w:sz w:val="20"/>
          <w:szCs w:val="21"/>
        </w:rPr>
        <w:t>癌诊疗指南202</w:t>
      </w:r>
      <w:r>
        <w:rPr>
          <w:rFonts w:hint="eastAsia"/>
          <w:sz w:val="20"/>
          <w:szCs w:val="21"/>
          <w:lang w:val="en-US" w:eastAsia="zh-CN"/>
        </w:rPr>
        <w:t>3</w:t>
      </w:r>
      <w:r>
        <w:rPr>
          <w:rFonts w:hint="eastAsia"/>
          <w:sz w:val="20"/>
          <w:szCs w:val="21"/>
        </w:rPr>
        <w:t>。</w:t>
      </w:r>
    </w:p>
    <w:p>
      <w:pPr>
        <w:rPr>
          <w:rFonts w:hint="eastAsia"/>
        </w:rPr>
      </w:pPr>
      <w:r>
        <w:rPr>
          <w:rFonts w:hint="eastAsia"/>
        </w:rPr>
        <w:br w:type="page"/>
      </w:r>
    </w:p>
    <w:p>
      <w:pPr>
        <w:spacing w:before="340" w:line="360" w:lineRule="auto"/>
        <w:ind w:firstLine="600" w:firstLineChars="200"/>
        <w:jc w:val="left"/>
        <w:outlineLvl w:val="1"/>
        <w:rPr>
          <w:rFonts w:hint="eastAsia" w:hAnsi="等线" w:cs="Arial"/>
          <w:b/>
          <w:bCs/>
          <w:color w:val="00B0F0"/>
          <w:sz w:val="30"/>
          <w:szCs w:val="30"/>
          <w:lang w:val="en-US" w:eastAsia="zh-CN"/>
        </w:rPr>
      </w:pPr>
      <w:bookmarkStart w:id="107" w:name="遗传性结直肠癌介绍"/>
      <w:bookmarkEnd w:id="107"/>
      <w:r>
        <w:rPr>
          <w:rFonts w:hint="eastAsia" w:hAnsi="等线" w:cs="Arial"/>
          <w:b/>
          <w:bCs/>
          <w:color w:val="00B0F0"/>
          <w:sz w:val="30"/>
          <w:szCs w:val="30"/>
          <w:lang w:val="en-US" w:eastAsia="zh-CN"/>
        </w:rPr>
        <w:drawing>
          <wp:anchor distT="0" distB="0" distL="114300" distR="114300" simplePos="0" relativeHeight="251710464" behindDoc="0" locked="0" layoutInCell="1" allowOverlap="1">
            <wp:simplePos x="0" y="0"/>
            <wp:positionH relativeFrom="column">
              <wp:posOffset>72390</wp:posOffset>
            </wp:positionH>
            <wp:positionV relativeFrom="paragraph">
              <wp:posOffset>60960</wp:posOffset>
            </wp:positionV>
            <wp:extent cx="277495" cy="277495"/>
            <wp:effectExtent l="0" t="0" r="12065" b="12065"/>
            <wp:wrapNone/>
            <wp:docPr id="1051" name="图片 37" descr="资源 1@41"/>
            <wp:cNvGraphicFramePr/>
            <a:graphic xmlns:a="http://schemas.openxmlformats.org/drawingml/2006/main">
              <a:graphicData uri="http://schemas.openxmlformats.org/drawingml/2006/picture">
                <pic:pic xmlns:pic="http://schemas.openxmlformats.org/drawingml/2006/picture">
                  <pic:nvPicPr>
                    <pic:cNvPr id="37" name="图片 37" descr="资源 1@41"/>
                    <pic:cNvPicPr/>
                  </pic:nvPicPr>
                  <pic:blipFill>
                    <a:blip r:embed="rId15"/>
                    <a:stretch>
                      <a:fillRect/>
                    </a:stretch>
                  </pic:blipFill>
                  <pic:spPr>
                    <a:xfrm>
                      <a:off x="0" y="0"/>
                      <a:ext cx="277495" cy="277495"/>
                    </a:xfrm>
                    <a:prstGeom prst="rect">
                      <a:avLst/>
                    </a:prstGeom>
                  </pic:spPr>
                </pic:pic>
              </a:graphicData>
            </a:graphic>
          </wp:anchor>
        </w:drawing>
      </w:r>
      <w:r>
        <w:rPr>
          <w:rFonts w:hint="eastAsia" w:hAnsi="等线" w:cs="Arial"/>
          <w:b/>
          <w:bCs/>
          <w:color w:val="00B0F0"/>
          <w:sz w:val="30"/>
          <w:szCs w:val="30"/>
          <w:lang w:val="en-US" w:eastAsia="zh-CN"/>
        </w:rPr>
        <w:t>遗传性结直肠癌综合征介绍</w:t>
      </w:r>
    </w:p>
    <w:tbl>
      <w:tblPr>
        <w:tblStyle w:val="66"/>
        <w:tblW w:w="0" w:type="auto"/>
        <w:jc w:val="center"/>
        <w:tblBorders>
          <w:top w:val="single" w:color="F2F2F2" w:sz="4" w:space="0"/>
          <w:left w:val="single" w:color="F2F2F2" w:sz="4" w:space="0"/>
          <w:bottom w:val="single" w:color="F2F2F2" w:sz="4" w:space="0"/>
          <w:right w:val="single" w:color="F2F2F2" w:sz="4" w:space="0"/>
          <w:insideH w:val="single" w:color="F2F2F2" w:sz="4" w:space="0"/>
          <w:insideV w:val="single" w:color="F2F2F2" w:sz="4" w:space="0"/>
        </w:tblBorders>
        <w:tblLayout w:type="fixed"/>
        <w:tblCellMar>
          <w:top w:w="0" w:type="dxa"/>
          <w:left w:w="108" w:type="dxa"/>
          <w:bottom w:w="0" w:type="dxa"/>
          <w:right w:w="108" w:type="dxa"/>
        </w:tblCellMar>
      </w:tblPr>
      <w:tblGrid>
        <w:gridCol w:w="2731"/>
        <w:gridCol w:w="1529"/>
        <w:gridCol w:w="5522"/>
      </w:tblGrid>
      <w:tr>
        <w:tblPrEx>
          <w:tblBorders>
            <w:top w:val="single" w:color="F2F2F2" w:sz="4" w:space="0"/>
            <w:left w:val="single" w:color="F2F2F2" w:sz="4" w:space="0"/>
            <w:bottom w:val="single" w:color="F2F2F2" w:sz="4" w:space="0"/>
            <w:right w:val="single" w:color="F2F2F2" w:sz="4" w:space="0"/>
            <w:insideH w:val="single" w:color="F2F2F2" w:sz="4" w:space="0"/>
            <w:insideV w:val="single" w:color="F2F2F2" w:sz="4" w:space="0"/>
          </w:tblBorders>
          <w:tblCellMar>
            <w:top w:w="0" w:type="dxa"/>
            <w:left w:w="108" w:type="dxa"/>
            <w:bottom w:w="0" w:type="dxa"/>
            <w:right w:w="108" w:type="dxa"/>
          </w:tblCellMar>
        </w:tblPrEx>
        <w:trPr>
          <w:trHeight w:val="567" w:hRule="atLeast"/>
          <w:tblHeader/>
          <w:jc w:val="center"/>
        </w:trPr>
        <w:tc>
          <w:tcPr>
            <w:tcW w:w="2731" w:type="dxa"/>
            <w:tcBorders>
              <w:tl2br w:val="nil"/>
              <w:tr2bl w:val="nil"/>
            </w:tcBorders>
            <w:shd w:val="clear" w:color="auto" w:fill="00B0F0"/>
            <w:noWrap/>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rFonts w:hint="eastAsia" w:hAnsi="等线"/>
                <w:b/>
                <w:bCs/>
                <w:color w:val="FFFFFF"/>
                <w:sz w:val="24"/>
                <w:szCs w:val="24"/>
                <w:lang w:val="en-US" w:eastAsia="zh-CN"/>
              </w:rPr>
            </w:pPr>
            <w:r>
              <w:rPr>
                <w:rFonts w:hint="eastAsia" w:hAnsi="等线"/>
                <w:b/>
                <w:bCs/>
                <w:color w:val="FFFFFF"/>
                <w:sz w:val="24"/>
                <w:szCs w:val="24"/>
                <w:lang w:val="en-US" w:eastAsia="zh-CN"/>
              </w:rPr>
              <w:t>综合征名称</w:t>
            </w:r>
          </w:p>
        </w:tc>
        <w:tc>
          <w:tcPr>
            <w:tcW w:w="1529" w:type="dxa"/>
            <w:tcBorders>
              <w:tl2br w:val="nil"/>
              <w:tr2bl w:val="nil"/>
            </w:tcBorders>
            <w:shd w:val="clear" w:color="auto" w:fill="00B0F0"/>
            <w:noWrap/>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rFonts w:hint="default" w:hAnsi="等线"/>
                <w:b/>
                <w:bCs/>
                <w:color w:val="FFFFFF"/>
                <w:sz w:val="24"/>
                <w:szCs w:val="24"/>
                <w:lang w:val="en-US" w:eastAsia="zh-CN"/>
              </w:rPr>
            </w:pPr>
            <w:r>
              <w:rPr>
                <w:rFonts w:hint="eastAsia" w:hAnsi="等线"/>
                <w:b/>
                <w:bCs/>
                <w:color w:val="FFFFFF"/>
                <w:sz w:val="24"/>
                <w:szCs w:val="24"/>
                <w:lang w:val="en-US" w:eastAsia="zh-CN"/>
              </w:rPr>
              <w:t>致病基因</w:t>
            </w:r>
          </w:p>
        </w:tc>
        <w:tc>
          <w:tcPr>
            <w:tcW w:w="5522" w:type="dxa"/>
            <w:tcBorders>
              <w:tl2br w:val="nil"/>
              <w:tr2bl w:val="nil"/>
            </w:tcBorders>
            <w:shd w:val="clear" w:color="auto" w:fill="00B0F0"/>
            <w:noWrap/>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rFonts w:hint="default" w:hAnsi="等线"/>
                <w:b/>
                <w:bCs/>
                <w:color w:val="FFFFFF"/>
                <w:sz w:val="24"/>
                <w:szCs w:val="24"/>
                <w:lang w:val="en-US" w:eastAsia="zh-CN"/>
              </w:rPr>
            </w:pPr>
            <w:r>
              <w:rPr>
                <w:rFonts w:hint="eastAsia" w:hAnsi="等线"/>
                <w:b/>
                <w:bCs/>
                <w:color w:val="FFFFFF"/>
                <w:sz w:val="24"/>
                <w:szCs w:val="24"/>
                <w:lang w:val="en-US" w:eastAsia="zh-CN"/>
              </w:rPr>
              <w:t>综合征介绍</w:t>
            </w:r>
          </w:p>
        </w:tc>
      </w:tr>
      <w:tr>
        <w:tblPrEx>
          <w:tblBorders>
            <w:top w:val="single" w:color="F2F2F2" w:sz="4" w:space="0"/>
            <w:left w:val="single" w:color="F2F2F2" w:sz="4" w:space="0"/>
            <w:bottom w:val="single" w:color="F2F2F2" w:sz="4" w:space="0"/>
            <w:right w:val="single" w:color="F2F2F2" w:sz="4" w:space="0"/>
            <w:insideH w:val="single" w:color="F2F2F2" w:sz="4" w:space="0"/>
            <w:insideV w:val="single" w:color="F2F2F2" w:sz="4" w:space="0"/>
          </w:tblBorders>
          <w:tblCellMar>
            <w:top w:w="0" w:type="dxa"/>
            <w:left w:w="108" w:type="dxa"/>
            <w:bottom w:w="0" w:type="dxa"/>
            <w:right w:w="108" w:type="dxa"/>
          </w:tblCellMar>
        </w:tblPrEx>
        <w:trPr>
          <w:trHeight w:val="510" w:hRule="atLeast"/>
          <w:jc w:val="center"/>
        </w:trPr>
        <w:tc>
          <w:tcPr>
            <w:tcW w:w="2731" w:type="dxa"/>
            <w:tcBorders>
              <w:insideV w:val="nil"/>
              <w:tl2br w:val="nil"/>
              <w:tr2bl w:val="nil"/>
            </w:tcBorders>
            <w:shd w:val="clear" w:color="auto" w:fill="CCDDF3"/>
            <w:noWrap/>
            <w:vAlign w:val="center"/>
          </w:tcPr>
          <w:p>
            <w:pPr>
              <w:keepNext w:val="0"/>
              <w:keepLines w:val="0"/>
              <w:suppressLineNumbers w:val="0"/>
              <w:spacing w:before="15" w:beforeLines="5" w:beforeAutospacing="0" w:after="15" w:afterLines="5" w:afterAutospacing="0"/>
              <w:ind w:left="0" w:right="0"/>
              <w:jc w:val="center"/>
              <w:rPr>
                <w:rFonts w:hint="default" w:hAnsi="等线"/>
                <w:b/>
                <w:bCs/>
                <w:sz w:val="20"/>
                <w:szCs w:val="20"/>
              </w:rPr>
            </w:pPr>
            <w:r>
              <w:rPr>
                <w:rFonts w:hint="eastAsia" w:hAnsi="等线"/>
                <w:b w:val="0"/>
                <w:bCs w:val="0"/>
                <w:sz w:val="20"/>
                <w:szCs w:val="20"/>
              </w:rPr>
              <w:t>Lynch综合征</w:t>
            </w:r>
          </w:p>
        </w:tc>
        <w:tc>
          <w:tcPr>
            <w:tcW w:w="1529" w:type="dxa"/>
            <w:tcBorders>
              <w:tl2br w:val="nil"/>
              <w:tr2bl w:val="nil"/>
            </w:tcBorders>
            <w:shd w:val="clear" w:color="auto" w:fill="FFFFFF"/>
            <w:noWrap/>
            <w:vAlign w:val="center"/>
          </w:tcPr>
          <w:p>
            <w:pPr>
              <w:keepNext w:val="0"/>
              <w:keepLines w:val="0"/>
              <w:suppressLineNumbers w:val="0"/>
              <w:spacing w:before="15" w:beforeLines="5" w:beforeAutospacing="0" w:after="15" w:afterLines="5" w:afterAutospacing="0"/>
              <w:ind w:left="0" w:right="0"/>
              <w:jc w:val="center"/>
              <w:rPr>
                <w:rFonts w:hint="default" w:hAnsi="等线"/>
                <w:sz w:val="20"/>
                <w:szCs w:val="20"/>
              </w:rPr>
            </w:pPr>
            <w:r>
              <w:rPr>
                <w:rFonts w:hint="eastAsia" w:hAnsi="等线"/>
                <w:sz w:val="20"/>
                <w:szCs w:val="20"/>
              </w:rPr>
              <w:t>MLH1、MSH2、MSH6、PMS2、EPCAM</w:t>
            </w:r>
          </w:p>
        </w:tc>
        <w:tc>
          <w:tcPr>
            <w:tcW w:w="5522" w:type="dxa"/>
            <w:tcBorders>
              <w:tl2br w:val="nil"/>
              <w:tr2bl w:val="nil"/>
            </w:tcBorders>
            <w:shd w:val="clear" w:color="auto" w:fill="CCDDF3"/>
            <w:noWrap/>
            <w:vAlign w:val="center"/>
          </w:tcPr>
          <w:p>
            <w:pPr>
              <w:keepNext w:val="0"/>
              <w:keepLines w:val="0"/>
              <w:pageBreakBefore w:val="0"/>
              <w:widowControl w:val="0"/>
              <w:kinsoku/>
              <w:wordWrap/>
              <w:overflowPunct/>
              <w:topLinePunct w:val="0"/>
              <w:autoSpaceDE/>
              <w:autoSpaceDN/>
              <w:bidi w:val="0"/>
              <w:adjustRightInd/>
              <w:snapToGrid/>
              <w:spacing w:line="290" w:lineRule="exact"/>
              <w:textAlignment w:val="auto"/>
              <w:rPr>
                <w:rFonts w:hint="default"/>
                <w:sz w:val="18"/>
                <w:szCs w:val="18"/>
                <w:lang w:val="en-US" w:eastAsia="zh-CN"/>
              </w:rPr>
            </w:pPr>
            <w:r>
              <w:rPr>
                <w:rFonts w:hint="eastAsia"/>
                <w:sz w:val="18"/>
                <w:szCs w:val="18"/>
              </w:rPr>
              <w:t>林奇综合征（Lynch Syndrome，LS）的临床特征是大肠癌（CRC）和子宫内膜、卵巢、胃、小肠、尿路、胆道、脑（通常是胶质母细胞瘤）、皮肤（皮脂腺瘤、皮脂腺癌和角化棘皮瘤）、乳腺、胰腺和前列腺癌症的风险升高。癌症风险和发病年龄因相关基因而异。LS是一种常染色体显性遗传病，由MLH1、MSH2、MSH6或PMS2的杂合致病变异或EPCAM缺失引起。LS的人群患病率据估计为1:279（MLH1为1:1946，MSH2为1:2841，MSH6为1:758，PMS2为1:714）（PMID: 27799157），EPCAM变异是罕见的（先证者缺失除外）。LS约占3%的CRC和3%的子宫内膜癌（PMID: 23073952，30521064，31150123，32030746）。</w:t>
            </w:r>
          </w:p>
        </w:tc>
      </w:tr>
      <w:tr>
        <w:tblPrEx>
          <w:tblBorders>
            <w:top w:val="single" w:color="F2F2F2" w:sz="4" w:space="0"/>
            <w:left w:val="single" w:color="F2F2F2" w:sz="4" w:space="0"/>
            <w:bottom w:val="single" w:color="F2F2F2" w:sz="4" w:space="0"/>
            <w:right w:val="single" w:color="F2F2F2" w:sz="4" w:space="0"/>
            <w:insideH w:val="single" w:color="F2F2F2" w:sz="4" w:space="0"/>
            <w:insideV w:val="single" w:color="F2F2F2" w:sz="4" w:space="0"/>
          </w:tblBorders>
          <w:tblCellMar>
            <w:top w:w="0" w:type="dxa"/>
            <w:left w:w="108" w:type="dxa"/>
            <w:bottom w:w="0" w:type="dxa"/>
            <w:right w:w="108" w:type="dxa"/>
          </w:tblCellMar>
        </w:tblPrEx>
        <w:trPr>
          <w:trHeight w:val="510" w:hRule="atLeast"/>
          <w:jc w:val="center"/>
        </w:trPr>
        <w:tc>
          <w:tcPr>
            <w:tcW w:w="2731" w:type="dxa"/>
            <w:tcBorders>
              <w:insideV w:val="nil"/>
              <w:tl2br w:val="nil"/>
              <w:tr2bl w:val="nil"/>
            </w:tcBorders>
            <w:shd w:val="clear" w:color="auto" w:fill="CCDDF3"/>
            <w:noWrap/>
            <w:vAlign w:val="center"/>
          </w:tcPr>
          <w:p>
            <w:pPr>
              <w:keepNext w:val="0"/>
              <w:keepLines w:val="0"/>
              <w:suppressLineNumbers w:val="0"/>
              <w:spacing w:before="15" w:beforeLines="5" w:beforeAutospacing="0" w:after="15" w:afterLines="5" w:afterAutospacing="0"/>
              <w:ind w:left="0" w:right="0"/>
              <w:jc w:val="center"/>
              <w:rPr>
                <w:rFonts w:hint="eastAsia" w:hAnsi="等线" w:eastAsia="等线"/>
                <w:b/>
                <w:bCs/>
                <w:sz w:val="20"/>
                <w:szCs w:val="20"/>
                <w:lang w:eastAsia="zh-CN"/>
              </w:rPr>
            </w:pPr>
            <w:r>
              <w:rPr>
                <w:rFonts w:hint="eastAsia" w:hAnsi="等线"/>
                <w:b w:val="0"/>
                <w:bCs w:val="0"/>
                <w:sz w:val="20"/>
                <w:szCs w:val="20"/>
              </w:rPr>
              <w:t>Li-Fraumeni综合征</w:t>
            </w:r>
            <w:r>
              <w:rPr>
                <w:rFonts w:hint="eastAsia" w:hAnsi="等线"/>
                <w:b w:val="0"/>
                <w:bCs w:val="0"/>
                <w:sz w:val="20"/>
                <w:szCs w:val="20"/>
                <w:lang w:eastAsia="zh-CN"/>
              </w:rPr>
              <w:t>（LFS）</w:t>
            </w:r>
          </w:p>
        </w:tc>
        <w:tc>
          <w:tcPr>
            <w:tcW w:w="1529" w:type="dxa"/>
            <w:tcBorders>
              <w:tl2br w:val="nil"/>
              <w:tr2bl w:val="nil"/>
            </w:tcBorders>
            <w:shd w:val="clear" w:color="auto" w:fill="FFFFFF"/>
            <w:noWrap/>
            <w:vAlign w:val="center"/>
          </w:tcPr>
          <w:p>
            <w:pPr>
              <w:keepNext w:val="0"/>
              <w:keepLines w:val="0"/>
              <w:suppressLineNumbers w:val="0"/>
              <w:spacing w:before="15" w:beforeLines="5" w:beforeAutospacing="0" w:after="15" w:afterLines="5" w:afterAutospacing="0"/>
              <w:ind w:left="0" w:right="0"/>
              <w:jc w:val="center"/>
              <w:rPr>
                <w:rFonts w:hint="default" w:hAnsi="等线"/>
                <w:sz w:val="20"/>
                <w:szCs w:val="20"/>
              </w:rPr>
            </w:pPr>
            <w:r>
              <w:rPr>
                <w:rFonts w:hint="eastAsia" w:hAnsi="等线"/>
                <w:sz w:val="20"/>
                <w:szCs w:val="20"/>
              </w:rPr>
              <w:t>TP53</w:t>
            </w:r>
          </w:p>
        </w:tc>
        <w:tc>
          <w:tcPr>
            <w:tcW w:w="5522" w:type="dxa"/>
            <w:tcBorders>
              <w:tl2br w:val="nil"/>
              <w:tr2bl w:val="nil"/>
            </w:tcBorders>
            <w:shd w:val="clear" w:color="auto" w:fill="CCDDF3"/>
            <w:noWrap/>
            <w:vAlign w:val="center"/>
          </w:tcPr>
          <w:p>
            <w:pPr>
              <w:keepNext w:val="0"/>
              <w:keepLines w:val="0"/>
              <w:pageBreakBefore w:val="0"/>
              <w:widowControl w:val="0"/>
              <w:kinsoku/>
              <w:wordWrap/>
              <w:overflowPunct/>
              <w:topLinePunct w:val="0"/>
              <w:autoSpaceDE/>
              <w:autoSpaceDN/>
              <w:bidi w:val="0"/>
              <w:adjustRightInd/>
              <w:snapToGrid/>
              <w:spacing w:line="290" w:lineRule="exact"/>
              <w:textAlignment w:val="auto"/>
              <w:rPr>
                <w:rFonts w:hint="default"/>
                <w:sz w:val="18"/>
                <w:szCs w:val="18"/>
                <w:lang w:val="en-US" w:eastAsia="zh-CN"/>
              </w:rPr>
            </w:pPr>
            <w:r>
              <w:rPr>
                <w:rFonts w:hint="eastAsia"/>
                <w:sz w:val="18"/>
                <w:szCs w:val="18"/>
              </w:rPr>
              <w:t>Li-Fraumeni综合征（Li-Fraumeni Syndrome, LFS）是一种癌症易感性综合征，与各种儿童和成人发病的恶性肿瘤的高风险有关。患有LFS的人终身患癌症的风险，男性为≥70%，女性为≥90%。五种癌症类型占LFS肿瘤的大多数：肾上腺皮质癌、乳腺癌、中枢神经系统肿瘤、骨肉瘤和软组织肉瘤。LFS与另外几种癌症的风险增加有关，包括白血病、淋巴瘤、胃肠道癌症、头颈部癌症、肾脏、喉部、肺部、皮肤（如黑色素瘤）、卵巢、胰腺、前列腺、睾丸和甲状腺。患有LFS的人在童年和青年时期患癌症的风险增加；幸存者患多种原发性癌症的风险增加。LFS是以常染色体显性方式遗传的，大多数被诊断为LFS的个体携带有TP53致病变异。</w:t>
            </w:r>
          </w:p>
        </w:tc>
      </w:tr>
      <w:tr>
        <w:tblPrEx>
          <w:tblBorders>
            <w:top w:val="single" w:color="F2F2F2" w:sz="4" w:space="0"/>
            <w:left w:val="single" w:color="F2F2F2" w:sz="4" w:space="0"/>
            <w:bottom w:val="single" w:color="F2F2F2" w:sz="4" w:space="0"/>
            <w:right w:val="single" w:color="F2F2F2" w:sz="4" w:space="0"/>
            <w:insideH w:val="single" w:color="F2F2F2" w:sz="4" w:space="0"/>
            <w:insideV w:val="single" w:color="F2F2F2" w:sz="4" w:space="0"/>
          </w:tblBorders>
          <w:tblCellMar>
            <w:top w:w="0" w:type="dxa"/>
            <w:left w:w="108" w:type="dxa"/>
            <w:bottom w:w="0" w:type="dxa"/>
            <w:right w:w="108" w:type="dxa"/>
          </w:tblCellMar>
        </w:tblPrEx>
        <w:trPr>
          <w:trHeight w:val="510" w:hRule="atLeast"/>
          <w:jc w:val="center"/>
        </w:trPr>
        <w:tc>
          <w:tcPr>
            <w:tcW w:w="2731" w:type="dxa"/>
            <w:tcBorders>
              <w:insideV w:val="nil"/>
              <w:tl2br w:val="nil"/>
              <w:tr2bl w:val="nil"/>
            </w:tcBorders>
            <w:shd w:val="clear" w:color="auto" w:fill="CCDDF3"/>
            <w:noWrap/>
            <w:vAlign w:val="center"/>
          </w:tcPr>
          <w:p>
            <w:pPr>
              <w:keepNext w:val="0"/>
              <w:keepLines w:val="0"/>
              <w:suppressLineNumbers w:val="0"/>
              <w:spacing w:before="15" w:beforeLines="5" w:beforeAutospacing="0" w:after="15" w:afterLines="5" w:afterAutospacing="0"/>
              <w:ind w:left="0" w:right="0"/>
              <w:jc w:val="center"/>
              <w:rPr>
                <w:rFonts w:hint="default" w:hAnsi="等线"/>
                <w:b/>
                <w:bCs/>
                <w:sz w:val="20"/>
                <w:szCs w:val="20"/>
              </w:rPr>
            </w:pPr>
            <w:r>
              <w:rPr>
                <w:rFonts w:hint="eastAsia" w:hAnsi="等线"/>
                <w:b w:val="0"/>
                <w:bCs w:val="0"/>
                <w:sz w:val="20"/>
                <w:szCs w:val="20"/>
              </w:rPr>
              <w:t>家族性腺瘤样息肉病（FAP）</w:t>
            </w:r>
          </w:p>
        </w:tc>
        <w:tc>
          <w:tcPr>
            <w:tcW w:w="1529" w:type="dxa"/>
            <w:tcBorders>
              <w:tl2br w:val="nil"/>
              <w:tr2bl w:val="nil"/>
            </w:tcBorders>
            <w:shd w:val="clear" w:color="auto" w:fill="FFFFFF"/>
            <w:noWrap/>
            <w:vAlign w:val="center"/>
          </w:tcPr>
          <w:p>
            <w:pPr>
              <w:keepNext w:val="0"/>
              <w:keepLines w:val="0"/>
              <w:suppressLineNumbers w:val="0"/>
              <w:spacing w:before="15" w:beforeLines="5" w:beforeAutospacing="0" w:after="15" w:afterLines="5" w:afterAutospacing="0"/>
              <w:ind w:left="0" w:right="0"/>
              <w:jc w:val="center"/>
              <w:rPr>
                <w:rFonts w:hint="default" w:hAnsi="等线"/>
                <w:sz w:val="20"/>
                <w:szCs w:val="20"/>
              </w:rPr>
            </w:pPr>
            <w:r>
              <w:rPr>
                <w:rFonts w:hint="eastAsia" w:hAnsi="等线"/>
                <w:sz w:val="20"/>
                <w:szCs w:val="20"/>
              </w:rPr>
              <w:t>APC</w:t>
            </w:r>
          </w:p>
        </w:tc>
        <w:tc>
          <w:tcPr>
            <w:tcW w:w="5522" w:type="dxa"/>
            <w:tcBorders>
              <w:tl2br w:val="nil"/>
              <w:tr2bl w:val="nil"/>
            </w:tcBorders>
            <w:shd w:val="clear" w:color="auto" w:fill="CCDDF3"/>
            <w:noWrap/>
            <w:vAlign w:val="center"/>
          </w:tcPr>
          <w:p>
            <w:pPr>
              <w:keepNext w:val="0"/>
              <w:keepLines w:val="0"/>
              <w:pageBreakBefore w:val="0"/>
              <w:widowControl w:val="0"/>
              <w:kinsoku/>
              <w:wordWrap/>
              <w:overflowPunct/>
              <w:topLinePunct w:val="0"/>
              <w:autoSpaceDE/>
              <w:autoSpaceDN/>
              <w:bidi w:val="0"/>
              <w:adjustRightInd/>
              <w:snapToGrid/>
              <w:spacing w:line="290" w:lineRule="exact"/>
              <w:textAlignment w:val="auto"/>
              <w:rPr>
                <w:rFonts w:hint="eastAsia"/>
                <w:sz w:val="18"/>
                <w:szCs w:val="18"/>
                <w:lang w:eastAsia="zh-CN"/>
              </w:rPr>
            </w:pPr>
            <w:r>
              <w:rPr>
                <w:rFonts w:hint="eastAsia"/>
                <w:sz w:val="18"/>
                <w:szCs w:val="18"/>
              </w:rPr>
              <w:t>家族性腺瘤样息肉病（Familial Adenomatous Polyposis，FAP）是一种结肠直肠癌（CRC）易感性综合征，可以表现为典型或减弱的形式。典型FAP的临床特征是有数百至数千个腺瘤性结肠息肉，平均在16岁开始（范围为7-36岁）。95%患者在35岁时就有了息肉；如果不进行结肠切除，CRC是不可避免的。未经治疗患者诊断为CRC的平均年龄为39岁（范围为34-43岁）。衰减型FAP（Attenuated FAP，AFAP）的临床特征是有多个结肠息肉（平均30个），息肉位置较近，而且诊断为CRC的年龄比典型FAP晚。80岁以上AFAP患者患CRC的风险为70%，诊断的平均年龄为50-55岁。结肠外表现各不相同，包括胃和十二指肠的息肉、骨瘤、牙齿异常、视网膜色素上皮的先天性肥大（CHRPE）、良性皮肤病变、变形瘤、肾上腺肿块和其他相关癌症。FAP是一种由APC致病变异导致的常染色体显性遗传病，与结直肠癌、小肠腺癌、胃癌、腹内型硬纤维瘤、甲状腺癌、肝母细胞瘤、CNS癌症（主要为髓母细胞瘤）等癌症风险有关，对FAP患病率的估计从1:6850到1:31250不等（每10万人中有2.29-3.2例）（PMID: 19822006，20921897）。</w:t>
            </w:r>
          </w:p>
        </w:tc>
      </w:tr>
      <w:tr>
        <w:tblPrEx>
          <w:tblBorders>
            <w:top w:val="single" w:color="F2F2F2" w:sz="4" w:space="0"/>
            <w:left w:val="single" w:color="F2F2F2" w:sz="4" w:space="0"/>
            <w:bottom w:val="single" w:color="F2F2F2" w:sz="4" w:space="0"/>
            <w:right w:val="single" w:color="F2F2F2" w:sz="4" w:space="0"/>
            <w:insideH w:val="single" w:color="F2F2F2" w:sz="4" w:space="0"/>
            <w:insideV w:val="single" w:color="F2F2F2" w:sz="4" w:space="0"/>
          </w:tblBorders>
          <w:tblCellMar>
            <w:top w:w="0" w:type="dxa"/>
            <w:left w:w="108" w:type="dxa"/>
            <w:bottom w:w="0" w:type="dxa"/>
            <w:right w:w="108" w:type="dxa"/>
          </w:tblCellMar>
        </w:tblPrEx>
        <w:trPr>
          <w:trHeight w:val="510" w:hRule="atLeast"/>
          <w:jc w:val="center"/>
        </w:trPr>
        <w:tc>
          <w:tcPr>
            <w:tcW w:w="2731" w:type="dxa"/>
            <w:tcBorders>
              <w:insideV w:val="nil"/>
              <w:tl2br w:val="nil"/>
              <w:tr2bl w:val="nil"/>
            </w:tcBorders>
            <w:shd w:val="clear" w:color="auto" w:fill="CCDDF3"/>
            <w:noWrap/>
            <w:vAlign w:val="center"/>
          </w:tcPr>
          <w:p>
            <w:pPr>
              <w:keepNext w:val="0"/>
              <w:keepLines w:val="0"/>
              <w:suppressLineNumbers w:val="0"/>
              <w:spacing w:before="15" w:beforeLines="5" w:beforeAutospacing="0" w:after="15" w:afterLines="5" w:afterAutospacing="0"/>
              <w:ind w:left="0" w:right="0"/>
              <w:jc w:val="center"/>
              <w:rPr>
                <w:rFonts w:hint="default" w:hAnsi="等线"/>
                <w:b/>
                <w:bCs/>
                <w:sz w:val="20"/>
                <w:szCs w:val="20"/>
              </w:rPr>
            </w:pPr>
            <w:r>
              <w:rPr>
                <w:rFonts w:hint="eastAsia" w:hAnsi="等线"/>
                <w:b w:val="0"/>
                <w:bCs w:val="0"/>
                <w:sz w:val="20"/>
                <w:szCs w:val="20"/>
              </w:rPr>
              <w:t>MUTYH相关性息肉病（MAP）</w:t>
            </w:r>
          </w:p>
        </w:tc>
        <w:tc>
          <w:tcPr>
            <w:tcW w:w="1529" w:type="dxa"/>
            <w:tcBorders>
              <w:tl2br w:val="nil"/>
              <w:tr2bl w:val="nil"/>
            </w:tcBorders>
            <w:shd w:val="clear" w:color="auto" w:fill="FFFFFF"/>
            <w:noWrap/>
            <w:vAlign w:val="center"/>
          </w:tcPr>
          <w:p>
            <w:pPr>
              <w:keepNext w:val="0"/>
              <w:keepLines w:val="0"/>
              <w:suppressLineNumbers w:val="0"/>
              <w:spacing w:before="15" w:beforeLines="5" w:beforeAutospacing="0" w:after="15" w:afterLines="5" w:afterAutospacing="0"/>
              <w:ind w:left="0" w:right="0"/>
              <w:jc w:val="center"/>
              <w:rPr>
                <w:rFonts w:hint="default" w:hAnsi="等线"/>
                <w:sz w:val="20"/>
                <w:szCs w:val="20"/>
              </w:rPr>
            </w:pPr>
            <w:r>
              <w:rPr>
                <w:rFonts w:hint="eastAsia" w:hAnsi="等线"/>
                <w:sz w:val="20"/>
                <w:szCs w:val="20"/>
              </w:rPr>
              <w:t>MUTYH</w:t>
            </w:r>
          </w:p>
        </w:tc>
        <w:tc>
          <w:tcPr>
            <w:tcW w:w="5522" w:type="dxa"/>
            <w:tcBorders>
              <w:tl2br w:val="nil"/>
              <w:tr2bl w:val="nil"/>
            </w:tcBorders>
            <w:shd w:val="clear" w:color="auto" w:fill="CCDDF3"/>
            <w:noWrap/>
            <w:vAlign w:val="center"/>
          </w:tcPr>
          <w:p>
            <w:pPr>
              <w:keepNext w:val="0"/>
              <w:keepLines w:val="0"/>
              <w:pageBreakBefore w:val="0"/>
              <w:widowControl w:val="0"/>
              <w:kinsoku/>
              <w:wordWrap/>
              <w:overflowPunct/>
              <w:topLinePunct w:val="0"/>
              <w:autoSpaceDE/>
              <w:autoSpaceDN/>
              <w:bidi w:val="0"/>
              <w:adjustRightInd/>
              <w:snapToGrid/>
              <w:spacing w:line="290" w:lineRule="exact"/>
              <w:textAlignment w:val="auto"/>
              <w:rPr>
                <w:rFonts w:hint="default"/>
                <w:sz w:val="18"/>
                <w:szCs w:val="18"/>
                <w:lang w:val="en-US" w:eastAsia="zh-CN"/>
              </w:rPr>
            </w:pPr>
            <w:r>
              <w:rPr>
                <w:rFonts w:hint="eastAsia"/>
                <w:sz w:val="18"/>
                <w:szCs w:val="18"/>
              </w:rPr>
              <w:t>MUTYH相关性息肉病（MUTYH-associated Polyposis, MAP）的临床特征是结肠直肠癌（CRC）的终身风险大大增加。尽管通常与十到几百个结肠腺瘤性息肉有关，但有些人在没有息肉病的情况下也会发生CRC。锯齿状腺瘤、增生/无柄锯齿状息肉和混合型（增生型和腺瘤型）息肉也可能发生。其他报道的特征包括甲状腺结节、良性肾上腺病变、颌骨囊肿和视网膜色素上皮的先天性肥大。十二指肠腺瘤很常见，十二指肠癌的风险增加。卵巢和膀胱发生恶性肿瘤的风险也会增加，而且有一些证据表明，患乳腺癌和子宫内膜癌的风险也会增加。MAP是一种MUTYH双等位基因胚系致病变异引起的常染色体隐性遗传病。据估计，双等位基因MUTYH胚系致病变异患者的发病率为1:20000至1:60000。MAP占所有CRC的0.7%，占家族性或早发CRC队列的0.5%-6%（PMID: 12606733，19245865，19620482，24620956，27978560）。</w:t>
            </w:r>
          </w:p>
        </w:tc>
      </w:tr>
      <w:tr>
        <w:tblPrEx>
          <w:tblBorders>
            <w:top w:val="single" w:color="F2F2F2" w:sz="4" w:space="0"/>
            <w:left w:val="single" w:color="F2F2F2" w:sz="4" w:space="0"/>
            <w:bottom w:val="single" w:color="F2F2F2" w:sz="4" w:space="0"/>
            <w:right w:val="single" w:color="F2F2F2" w:sz="4" w:space="0"/>
            <w:insideH w:val="single" w:color="F2F2F2" w:sz="4" w:space="0"/>
            <w:insideV w:val="single" w:color="F2F2F2" w:sz="4" w:space="0"/>
          </w:tblBorders>
          <w:tblCellMar>
            <w:top w:w="0" w:type="dxa"/>
            <w:left w:w="108" w:type="dxa"/>
            <w:bottom w:w="0" w:type="dxa"/>
            <w:right w:w="108" w:type="dxa"/>
          </w:tblCellMar>
        </w:tblPrEx>
        <w:trPr>
          <w:trHeight w:val="510" w:hRule="atLeast"/>
          <w:jc w:val="center"/>
        </w:trPr>
        <w:tc>
          <w:tcPr>
            <w:tcW w:w="2731" w:type="dxa"/>
            <w:tcBorders>
              <w:insideV w:val="nil"/>
              <w:tl2br w:val="nil"/>
              <w:tr2bl w:val="nil"/>
            </w:tcBorders>
            <w:shd w:val="clear" w:color="auto" w:fill="CCDDF3"/>
            <w:noWrap/>
            <w:vAlign w:val="center"/>
          </w:tcPr>
          <w:p>
            <w:pPr>
              <w:keepNext w:val="0"/>
              <w:keepLines w:val="0"/>
              <w:suppressLineNumbers w:val="0"/>
              <w:spacing w:before="15" w:beforeLines="5" w:beforeAutospacing="0" w:after="15" w:afterLines="5" w:afterAutospacing="0"/>
              <w:ind w:left="0" w:right="0"/>
              <w:jc w:val="center"/>
              <w:rPr>
                <w:rFonts w:hint="default" w:hAnsi="等线"/>
                <w:b/>
                <w:bCs/>
                <w:sz w:val="20"/>
                <w:szCs w:val="20"/>
              </w:rPr>
            </w:pPr>
            <w:r>
              <w:rPr>
                <w:rFonts w:hint="eastAsia" w:hAnsi="等线"/>
                <w:b w:val="0"/>
                <w:bCs w:val="0"/>
                <w:sz w:val="20"/>
                <w:szCs w:val="20"/>
              </w:rPr>
              <w:t>幼年性息肉病（JPS）</w:t>
            </w:r>
          </w:p>
        </w:tc>
        <w:tc>
          <w:tcPr>
            <w:tcW w:w="1529" w:type="dxa"/>
            <w:tcBorders>
              <w:tl2br w:val="nil"/>
              <w:tr2bl w:val="nil"/>
            </w:tcBorders>
            <w:shd w:val="clear" w:color="auto" w:fill="FFFFFF"/>
            <w:noWrap/>
            <w:vAlign w:val="center"/>
          </w:tcPr>
          <w:p>
            <w:pPr>
              <w:keepNext w:val="0"/>
              <w:keepLines w:val="0"/>
              <w:suppressLineNumbers w:val="0"/>
              <w:spacing w:before="15" w:beforeLines="5" w:beforeAutospacing="0" w:after="15" w:afterLines="5" w:afterAutospacing="0"/>
              <w:ind w:left="0" w:right="0"/>
              <w:jc w:val="center"/>
              <w:rPr>
                <w:rFonts w:hint="default" w:hAnsi="等线"/>
                <w:sz w:val="20"/>
                <w:szCs w:val="20"/>
              </w:rPr>
            </w:pPr>
            <w:r>
              <w:rPr>
                <w:rFonts w:hint="eastAsia" w:hAnsi="等线"/>
                <w:sz w:val="20"/>
                <w:szCs w:val="20"/>
              </w:rPr>
              <w:t>BMPR1A、SMAD4</w:t>
            </w:r>
          </w:p>
        </w:tc>
        <w:tc>
          <w:tcPr>
            <w:tcW w:w="5522" w:type="dxa"/>
            <w:tcBorders>
              <w:tl2br w:val="nil"/>
              <w:tr2bl w:val="nil"/>
            </w:tcBorders>
            <w:shd w:val="clear" w:color="auto" w:fill="CCDDF3"/>
            <w:noWrap/>
            <w:vAlign w:val="center"/>
          </w:tcPr>
          <w:p>
            <w:pPr>
              <w:keepNext w:val="0"/>
              <w:keepLines w:val="0"/>
              <w:pageBreakBefore w:val="0"/>
              <w:widowControl w:val="0"/>
              <w:kinsoku/>
              <w:wordWrap/>
              <w:overflowPunct/>
              <w:topLinePunct w:val="0"/>
              <w:autoSpaceDE/>
              <w:autoSpaceDN/>
              <w:bidi w:val="0"/>
              <w:adjustRightInd/>
              <w:snapToGrid/>
              <w:spacing w:line="290" w:lineRule="exact"/>
              <w:textAlignment w:val="auto"/>
              <w:rPr>
                <w:rFonts w:hint="default"/>
                <w:sz w:val="18"/>
                <w:szCs w:val="18"/>
                <w:lang w:val="en-US" w:eastAsia="zh-CN"/>
              </w:rPr>
            </w:pPr>
            <w:r>
              <w:rPr>
                <w:rFonts w:hint="eastAsia"/>
                <w:sz w:val="18"/>
                <w:szCs w:val="18"/>
              </w:rPr>
              <w:t>幼年性息肉病（Juvenile Polyposis Syndrome，JPS）的临床特征是在胃肠道（GI），特别是在胃、小肠、结肠和直肠，容易出现错构瘤性息肉。“Juvenile”一词是指息肉的类型，而不是指息肉发病的年龄。大多数患有JPS的人在20岁时就有一些息肉；有些人在一生中可能只有4或5个息肉，而同一家庭的其他人可能有100多个。如果息肉没有得到治疗，可能会引起出血和贫血。大多数幼年性息肉是良性的；然而，可能发生恶性转化。患消化道癌症的风险从11%到86%不等，这种风险的增加大多归因于结肠癌。JPS患者患有结直肠癌的终身风险高达50%，在有胃息肉的人中胃癌发病风险高达21%。JPS是一种常染色体显性遗传病，致病基因包括BMPR1A和SMAD4，大多数具有SMAD4致病变异的人都有JPS和遗传性出血性毛细血管扩张症（HHT）的综合征。JPS的发病率据估计在1:16000至1:100000之间。</w:t>
            </w:r>
          </w:p>
        </w:tc>
      </w:tr>
      <w:tr>
        <w:tblPrEx>
          <w:tblBorders>
            <w:top w:val="single" w:color="F2F2F2" w:sz="4" w:space="0"/>
            <w:left w:val="single" w:color="F2F2F2" w:sz="4" w:space="0"/>
            <w:bottom w:val="single" w:color="F2F2F2" w:sz="4" w:space="0"/>
            <w:right w:val="single" w:color="F2F2F2" w:sz="4" w:space="0"/>
            <w:insideH w:val="single" w:color="F2F2F2" w:sz="4" w:space="0"/>
            <w:insideV w:val="single" w:color="F2F2F2" w:sz="4" w:space="0"/>
          </w:tblBorders>
          <w:tblCellMar>
            <w:top w:w="0" w:type="dxa"/>
            <w:left w:w="108" w:type="dxa"/>
            <w:bottom w:w="0" w:type="dxa"/>
            <w:right w:w="108" w:type="dxa"/>
          </w:tblCellMar>
        </w:tblPrEx>
        <w:trPr>
          <w:trHeight w:val="510" w:hRule="atLeast"/>
          <w:jc w:val="center"/>
        </w:trPr>
        <w:tc>
          <w:tcPr>
            <w:tcW w:w="2731" w:type="dxa"/>
            <w:tcBorders>
              <w:insideV w:val="nil"/>
              <w:tl2br w:val="nil"/>
              <w:tr2bl w:val="nil"/>
            </w:tcBorders>
            <w:shd w:val="clear" w:color="auto" w:fill="CCDDF3"/>
            <w:noWrap/>
            <w:vAlign w:val="center"/>
          </w:tcPr>
          <w:p>
            <w:pPr>
              <w:keepNext w:val="0"/>
              <w:keepLines w:val="0"/>
              <w:suppressLineNumbers w:val="0"/>
              <w:spacing w:before="15" w:beforeLines="5" w:beforeAutospacing="0" w:after="15" w:afterLines="5" w:afterAutospacing="0"/>
              <w:ind w:left="0" w:right="0"/>
              <w:jc w:val="center"/>
              <w:rPr>
                <w:rFonts w:hint="default" w:hAnsi="等线"/>
                <w:b/>
                <w:bCs/>
                <w:sz w:val="20"/>
                <w:szCs w:val="20"/>
              </w:rPr>
            </w:pPr>
            <w:r>
              <w:rPr>
                <w:rFonts w:hint="eastAsia" w:hAnsi="等线"/>
                <w:b w:val="0"/>
                <w:bCs w:val="0"/>
                <w:sz w:val="20"/>
                <w:szCs w:val="20"/>
              </w:rPr>
              <w:t>黑斑息肉病（PJS）</w:t>
            </w:r>
          </w:p>
        </w:tc>
        <w:tc>
          <w:tcPr>
            <w:tcW w:w="1529" w:type="dxa"/>
            <w:tcBorders>
              <w:tl2br w:val="nil"/>
              <w:tr2bl w:val="nil"/>
            </w:tcBorders>
            <w:shd w:val="clear" w:color="auto" w:fill="FFFFFF"/>
            <w:noWrap/>
            <w:vAlign w:val="center"/>
          </w:tcPr>
          <w:p>
            <w:pPr>
              <w:keepNext w:val="0"/>
              <w:keepLines w:val="0"/>
              <w:suppressLineNumbers w:val="0"/>
              <w:spacing w:before="15" w:beforeLines="5" w:beforeAutospacing="0" w:after="15" w:afterLines="5" w:afterAutospacing="0"/>
              <w:ind w:left="0" w:right="0"/>
              <w:jc w:val="center"/>
              <w:rPr>
                <w:rFonts w:hint="default" w:hAnsi="等线"/>
                <w:sz w:val="20"/>
                <w:szCs w:val="20"/>
              </w:rPr>
            </w:pPr>
            <w:r>
              <w:rPr>
                <w:rFonts w:hint="eastAsia" w:hAnsi="等线"/>
                <w:sz w:val="20"/>
                <w:szCs w:val="20"/>
              </w:rPr>
              <w:t>STK11</w:t>
            </w:r>
          </w:p>
        </w:tc>
        <w:tc>
          <w:tcPr>
            <w:tcW w:w="5522" w:type="dxa"/>
            <w:tcBorders>
              <w:tl2br w:val="nil"/>
              <w:tr2bl w:val="nil"/>
            </w:tcBorders>
            <w:shd w:val="clear" w:color="auto" w:fill="CCDDF3"/>
            <w:noWrap/>
            <w:vAlign w:val="center"/>
          </w:tcPr>
          <w:p>
            <w:pPr>
              <w:keepNext w:val="0"/>
              <w:keepLines w:val="0"/>
              <w:pageBreakBefore w:val="0"/>
              <w:widowControl w:val="0"/>
              <w:kinsoku/>
              <w:wordWrap/>
              <w:overflowPunct/>
              <w:topLinePunct w:val="0"/>
              <w:autoSpaceDE/>
              <w:autoSpaceDN/>
              <w:bidi w:val="0"/>
              <w:adjustRightInd/>
              <w:snapToGrid/>
              <w:spacing w:line="290" w:lineRule="exact"/>
              <w:textAlignment w:val="auto"/>
              <w:rPr>
                <w:rFonts w:hint="default"/>
                <w:sz w:val="18"/>
                <w:szCs w:val="18"/>
                <w:lang w:val="en-US" w:eastAsia="zh-CN"/>
              </w:rPr>
            </w:pPr>
            <w:r>
              <w:rPr>
                <w:rFonts w:hint="eastAsia"/>
                <w:sz w:val="18"/>
                <w:szCs w:val="18"/>
              </w:rPr>
              <w:t>黑斑息肉病（Peutz-Jeghers Syndrome, PJS）的临床特征是与胃肠道（GI）息肉病、粘膜色素沉着和癌症易感性有关。PJS型错构瘤性息肉最常见于小肠（按发病率排序：空肠、回肠和十二指肠），但也可发生在胃、大肠和肠外部位，包括肾盂、支气管、胆囊、鼻腔、膀胱和输尿管。胃肠道息肉可导致慢性出血、贫血、复发性梗阻和肠梗阻，需要反复开腹手术和肠道切除。粘膜色素沉着在儿童时期表现为口腔、眼睛和鼻孔周围、肛周和口腔粘膜上的深蓝色至深褐色斑块。手指上的色素沉着斑是常见的。这些斑丘疹在青春期和成年后可能消退。PJS是一种STK11基因致病变异引起的常染色体显性遗传病，患有PJS的人患各种上皮性恶性肿瘤（乳腺癌、结直肠癌、胃癌、小肠腺癌、胰腺癌、宫颈癌、卵巢癌、肺癌和睾丸癌）的风险增加。女性有患带环状小管的性索瘤（SCTAT，一种卵巢的良性肿瘤）以及宫颈腺瘤恶性肿瘤（一种罕见的侵略性癌症）的风险；男性偶尔会出现睾丸的大型钙化性Sertoli细胞瘤，它分泌雌激素，如果不治疗，可导致男性乳房发育、骨骼老化，并最终导致身材矮小。</w:t>
            </w:r>
          </w:p>
        </w:tc>
      </w:tr>
      <w:tr>
        <w:tblPrEx>
          <w:tblBorders>
            <w:top w:val="single" w:color="F2F2F2" w:sz="4" w:space="0"/>
            <w:left w:val="single" w:color="F2F2F2" w:sz="4" w:space="0"/>
            <w:bottom w:val="single" w:color="F2F2F2" w:sz="4" w:space="0"/>
            <w:right w:val="single" w:color="F2F2F2" w:sz="4" w:space="0"/>
            <w:insideH w:val="single" w:color="F2F2F2" w:sz="4" w:space="0"/>
            <w:insideV w:val="single" w:color="F2F2F2" w:sz="4" w:space="0"/>
          </w:tblBorders>
          <w:tblCellMar>
            <w:top w:w="0" w:type="dxa"/>
            <w:left w:w="108" w:type="dxa"/>
            <w:bottom w:w="0" w:type="dxa"/>
            <w:right w:w="108" w:type="dxa"/>
          </w:tblCellMar>
        </w:tblPrEx>
        <w:trPr>
          <w:trHeight w:val="510" w:hRule="atLeast"/>
          <w:jc w:val="center"/>
        </w:trPr>
        <w:tc>
          <w:tcPr>
            <w:tcW w:w="2731" w:type="dxa"/>
            <w:tcBorders>
              <w:insideV w:val="nil"/>
              <w:tl2br w:val="nil"/>
              <w:tr2bl w:val="nil"/>
            </w:tcBorders>
            <w:shd w:val="clear" w:color="auto" w:fill="CCDDF3"/>
            <w:noWrap/>
            <w:vAlign w:val="center"/>
          </w:tcPr>
          <w:p>
            <w:pPr>
              <w:keepNext w:val="0"/>
              <w:keepLines w:val="0"/>
              <w:suppressLineNumbers w:val="0"/>
              <w:spacing w:before="15" w:beforeLines="5" w:beforeAutospacing="0" w:after="15" w:afterLines="5" w:afterAutospacing="0"/>
              <w:ind w:left="0" w:right="0"/>
              <w:jc w:val="center"/>
              <w:rPr>
                <w:rFonts w:hint="default" w:hAnsi="等线"/>
                <w:b/>
                <w:bCs/>
                <w:sz w:val="20"/>
                <w:szCs w:val="20"/>
              </w:rPr>
            </w:pPr>
            <w:r>
              <w:rPr>
                <w:rFonts w:hint="eastAsia" w:hAnsi="等线"/>
                <w:b w:val="0"/>
                <w:bCs w:val="0"/>
                <w:sz w:val="20"/>
                <w:szCs w:val="20"/>
              </w:rPr>
              <w:t>PTEN错构瘤综合征（PHTS）</w:t>
            </w:r>
          </w:p>
        </w:tc>
        <w:tc>
          <w:tcPr>
            <w:tcW w:w="1529" w:type="dxa"/>
            <w:tcBorders>
              <w:tl2br w:val="nil"/>
              <w:tr2bl w:val="nil"/>
            </w:tcBorders>
            <w:shd w:val="clear" w:color="auto" w:fill="FFFFFF"/>
            <w:noWrap/>
            <w:vAlign w:val="center"/>
          </w:tcPr>
          <w:p>
            <w:pPr>
              <w:keepNext w:val="0"/>
              <w:keepLines w:val="0"/>
              <w:suppressLineNumbers w:val="0"/>
              <w:spacing w:before="15" w:beforeLines="5" w:beforeAutospacing="0" w:after="15" w:afterLines="5" w:afterAutospacing="0"/>
              <w:ind w:left="0" w:right="0"/>
              <w:jc w:val="center"/>
              <w:rPr>
                <w:rFonts w:hint="default" w:hAnsi="等线"/>
                <w:sz w:val="20"/>
                <w:szCs w:val="20"/>
              </w:rPr>
            </w:pPr>
            <w:r>
              <w:rPr>
                <w:rFonts w:hint="eastAsia" w:hAnsi="等线"/>
                <w:sz w:val="20"/>
                <w:szCs w:val="20"/>
              </w:rPr>
              <w:t>PTEN</w:t>
            </w:r>
          </w:p>
        </w:tc>
        <w:tc>
          <w:tcPr>
            <w:tcW w:w="5522" w:type="dxa"/>
            <w:tcBorders>
              <w:tl2br w:val="nil"/>
              <w:tr2bl w:val="nil"/>
            </w:tcBorders>
            <w:shd w:val="clear" w:color="auto" w:fill="CCDDF3"/>
            <w:noWrap/>
            <w:vAlign w:val="center"/>
          </w:tcPr>
          <w:p>
            <w:pPr>
              <w:keepNext w:val="0"/>
              <w:keepLines w:val="0"/>
              <w:pageBreakBefore w:val="0"/>
              <w:widowControl w:val="0"/>
              <w:kinsoku/>
              <w:wordWrap/>
              <w:overflowPunct/>
              <w:topLinePunct w:val="0"/>
              <w:autoSpaceDE/>
              <w:autoSpaceDN/>
              <w:bidi w:val="0"/>
              <w:adjustRightInd/>
              <w:snapToGrid/>
              <w:spacing w:line="290" w:lineRule="exact"/>
              <w:textAlignment w:val="auto"/>
              <w:rPr>
                <w:rFonts w:hint="eastAsia"/>
                <w:sz w:val="18"/>
                <w:szCs w:val="18"/>
              </w:rPr>
            </w:pPr>
            <w:r>
              <w:rPr>
                <w:rFonts w:hint="eastAsia"/>
                <w:sz w:val="18"/>
                <w:szCs w:val="18"/>
              </w:rPr>
              <w:t>PTEN错构瘤综合征（PTEN Hamartoma Tumor Syndrome，PHTS）的典型临床特征是存在错构瘤性肿瘤和胚系PTEN致病变异，为常染色体显性遗传。临床上PHTS包括Cowden综合症（CS）、Bannayan-Riley-Ruvalcaba综合征（BRRS）、PTEN相关Proteus综合征（PS）和PTEN相关Proteus样综合征。CS是一种多发的错构瘤综合征，对甲状腺、乳腺和子宫内膜良性和恶性肿瘤有高度风险，肾细胞癌和结直肠癌、黑色素瘤也被证明在PHTS谱系中；BRRS是一种先天性疾病，其特点是巨头畸形、肠道息肉病、脂肪瘤、血管畸形和龟头阴茎的色素斑；PS是一种复杂的、高度可变的疾病，涉及先天性畸形和多种组织的过度生长；Proteus样综合征没有定义，指的是具有明显的PS临床特征但不符合PS诊断标准的个体。</w:t>
            </w:r>
          </w:p>
        </w:tc>
      </w:tr>
    </w:tbl>
    <w:p>
      <w:pPr>
        <w:rPr>
          <w:rFonts w:hAnsi="等线"/>
          <w:szCs w:val="21"/>
        </w:rPr>
      </w:pPr>
      <w:r>
        <w:rPr>
          <w:rFonts w:hAnsi="等线"/>
          <w:szCs w:val="21"/>
        </w:rPr>
        <w:br w:type="page"/>
      </w:r>
    </w:p>
    <w:p>
      <w:pPr>
        <w:spacing w:before="340" w:line="360" w:lineRule="auto"/>
        <w:jc w:val="left"/>
        <w:outlineLvl w:val="1"/>
        <w:rPr>
          <w:rFonts w:hAnsi="等线" w:cs="Arial"/>
          <w:b/>
          <w:bCs/>
          <w:color w:val="00B0F0"/>
          <w:sz w:val="28"/>
          <w:szCs w:val="28"/>
        </w:rPr>
      </w:pPr>
      <w:bookmarkStart w:id="108" w:name="参考文献"/>
      <w:bookmarkEnd w:id="108"/>
      <w:r>
        <w:rPr>
          <w:rFonts w:hint="eastAsia" w:hAnsi="等线" w:cs="Arial"/>
          <w:b/>
          <w:bCs/>
          <w:color w:val="00B0F0"/>
          <w:sz w:val="28"/>
          <w:szCs w:val="28"/>
        </w:rPr>
        <w:t>参考文献</w:t>
      </w:r>
      <w:bookmarkEnd w:id="104"/>
      <w:bookmarkEnd w:id="105"/>
      <w:bookmarkEnd w:id="106"/>
    </w:p>
    <w:p>
      <w:pPr>
        <w:pStyle w:val="38"/>
        <w:numPr>
          <w:ilvl w:val="0"/>
          <w:numId w:val="20"/>
        </w:numPr>
        <w:snapToGrid w:val="0"/>
        <w:spacing w:line="320" w:lineRule="exact"/>
        <w:ind w:firstLineChars="0"/>
        <w:rPr>
          <w:rFonts w:hAnsi="等线"/>
          <w:sz w:val="18"/>
          <w:szCs w:val="18"/>
        </w:rPr>
      </w:pPr>
      <w:r>
        <w:rPr>
          <w:rFonts w:hint="eastAsia" w:hAnsi="等线"/>
          <w:sz w:val="18"/>
          <w:szCs w:val="18"/>
        </w:rPr>
        <w:t>美国国家综合癌症网络（NCCN）肿瘤临床实践指南.</w:t>
      </w:r>
    </w:p>
    <w:p>
      <w:pPr>
        <w:pStyle w:val="38"/>
        <w:numPr>
          <w:ilvl w:val="0"/>
          <w:numId w:val="20"/>
        </w:numPr>
        <w:snapToGrid w:val="0"/>
        <w:spacing w:line="320" w:lineRule="exact"/>
        <w:ind w:firstLineChars="0"/>
        <w:rPr>
          <w:rFonts w:hint="eastAsia" w:hAnsi="等线"/>
          <w:sz w:val="18"/>
          <w:szCs w:val="18"/>
        </w:rPr>
      </w:pPr>
      <w:r>
        <w:rPr>
          <w:rFonts w:hint="eastAsia" w:hAnsi="等线"/>
          <w:sz w:val="18"/>
          <w:szCs w:val="18"/>
        </w:rPr>
        <w:t>中国临床肿瘤学会（CSCO）</w:t>
      </w:r>
      <w:r>
        <w:rPr>
          <w:rFonts w:hint="eastAsia" w:hAnsi="等线"/>
          <w:sz w:val="18"/>
          <w:szCs w:val="18"/>
          <w:lang w:val="en-US" w:eastAsia="zh-CN"/>
        </w:rPr>
        <w:t>癌症</w:t>
      </w:r>
      <w:r>
        <w:rPr>
          <w:rFonts w:hint="eastAsia" w:hAnsi="等线"/>
          <w:sz w:val="18"/>
          <w:szCs w:val="18"/>
        </w:rPr>
        <w:t>诊疗指南</w:t>
      </w:r>
      <w:r>
        <w:rPr>
          <w:rFonts w:hint="eastAsia" w:hAnsi="等线"/>
          <w:sz w:val="18"/>
          <w:szCs w:val="18"/>
          <w:lang w:val="en-US" w:eastAsia="zh-CN"/>
        </w:rPr>
        <w:t>.</w:t>
      </w:r>
    </w:p>
    <w:p>
      <w:pPr>
        <w:pStyle w:val="38"/>
        <w:numPr>
          <w:ilvl w:val="0"/>
          <w:numId w:val="20"/>
        </w:numPr>
        <w:snapToGrid w:val="0"/>
        <w:spacing w:line="320" w:lineRule="exact"/>
        <w:ind w:firstLineChars="0"/>
        <w:rPr>
          <w:rFonts w:hAnsi="等线"/>
          <w:sz w:val="18"/>
          <w:szCs w:val="18"/>
        </w:rPr>
      </w:pPr>
      <w:r>
        <w:rPr>
          <w:rFonts w:hint="eastAsia" w:hAnsi="等线"/>
          <w:sz w:val="18"/>
          <w:szCs w:val="18"/>
        </w:rPr>
        <w:t>中国</w:t>
      </w:r>
      <w:r>
        <w:rPr>
          <w:rFonts w:hint="eastAsia" w:hAnsi="等线"/>
          <w:sz w:val="18"/>
          <w:szCs w:val="18"/>
          <w:lang w:val="en-US" w:eastAsia="zh-CN"/>
        </w:rPr>
        <w:t>抗癌协会（CACA）</w:t>
      </w:r>
      <w:r>
        <w:rPr>
          <w:rFonts w:hint="eastAsia" w:hAnsi="等线"/>
          <w:sz w:val="18"/>
          <w:szCs w:val="18"/>
        </w:rPr>
        <w:t>肿瘤整合诊治指南</w:t>
      </w:r>
      <w:r>
        <w:rPr>
          <w:rFonts w:hint="eastAsia" w:hAnsi="等线"/>
          <w:sz w:val="18"/>
          <w:szCs w:val="18"/>
          <w:lang w:val="en-US" w:eastAsia="zh-CN"/>
        </w:rPr>
        <w:t>.</w:t>
      </w:r>
    </w:p>
    <w:p>
      <w:pPr>
        <w:pStyle w:val="38"/>
        <w:numPr>
          <w:ilvl w:val="0"/>
          <w:numId w:val="20"/>
        </w:numPr>
        <w:snapToGrid w:val="0"/>
        <w:spacing w:line="320" w:lineRule="exact"/>
        <w:ind w:firstLineChars="0"/>
        <w:rPr>
          <w:rFonts w:hAnsi="等线"/>
          <w:sz w:val="18"/>
          <w:szCs w:val="18"/>
        </w:rPr>
      </w:pPr>
      <w:r>
        <w:rPr>
          <w:rFonts w:hAnsi="等线"/>
          <w:sz w:val="18"/>
          <w:szCs w:val="18"/>
        </w:rPr>
        <w:t xml:space="preserve">U.S. Food and Drug Administration, Table of Pharmacogenomic Biomarkers in Drug Labeling. Available online at: </w:t>
      </w:r>
      <w:r>
        <w:rPr>
          <w:rFonts w:hAnsi="等线"/>
          <w:sz w:val="18"/>
          <w:szCs w:val="18"/>
        </w:rPr>
        <w:fldChar w:fldCharType="begin"/>
      </w:r>
      <w:r>
        <w:rPr>
          <w:rFonts w:hAnsi="等线"/>
          <w:sz w:val="18"/>
          <w:szCs w:val="18"/>
        </w:rPr>
        <w:instrText xml:space="preserve"> HYPERLINK "http://www.fda.gov/Drugs/ScienceResearch/ResearchAreas/Pharmacogenetics/ucm083378.html" </w:instrText>
      </w:r>
      <w:r>
        <w:rPr>
          <w:rFonts w:hAnsi="等线"/>
          <w:sz w:val="18"/>
          <w:szCs w:val="18"/>
        </w:rPr>
        <w:fldChar w:fldCharType="separate"/>
      </w:r>
      <w:r>
        <w:rPr>
          <w:rStyle w:val="25"/>
          <w:rFonts w:hAnsi="等线"/>
          <w:sz w:val="18"/>
          <w:szCs w:val="18"/>
        </w:rPr>
        <w:t>http://www.fda.gov/Drugs/ScienceResearch/ResearchAreas/Pharmacogenetics/ucm083378.htm</w:t>
      </w:r>
      <w:r>
        <w:rPr>
          <w:rStyle w:val="25"/>
          <w:rFonts w:hint="eastAsia" w:hAnsi="等线"/>
          <w:sz w:val="18"/>
          <w:szCs w:val="18"/>
        </w:rPr>
        <w:t>l</w:t>
      </w:r>
      <w:r>
        <w:rPr>
          <w:rFonts w:hAnsi="等线"/>
          <w:sz w:val="18"/>
          <w:szCs w:val="18"/>
        </w:rPr>
        <w:fldChar w:fldCharType="end"/>
      </w:r>
      <w:r>
        <w:rPr>
          <w:rFonts w:hint="eastAsia" w:hAnsi="等线"/>
          <w:sz w:val="18"/>
          <w:szCs w:val="18"/>
          <w:lang w:val="en-US" w:eastAsia="zh-CN"/>
        </w:rPr>
        <w:t>.</w:t>
      </w:r>
    </w:p>
    <w:p>
      <w:pPr>
        <w:pStyle w:val="38"/>
        <w:numPr>
          <w:ilvl w:val="0"/>
          <w:numId w:val="20"/>
        </w:numPr>
        <w:snapToGrid w:val="0"/>
        <w:spacing w:line="320" w:lineRule="exact"/>
        <w:ind w:firstLineChars="0"/>
        <w:rPr>
          <w:rFonts w:hAnsi="等线"/>
          <w:sz w:val="18"/>
          <w:szCs w:val="18"/>
        </w:rPr>
      </w:pPr>
      <w:r>
        <w:rPr>
          <w:rFonts w:hint="eastAsia" w:hAnsi="等线"/>
          <w:sz w:val="18"/>
          <w:szCs w:val="18"/>
        </w:rPr>
        <w:t>OncoKB</w:t>
      </w:r>
      <w:r>
        <w:rPr>
          <w:rFonts w:hint="eastAsia" w:hAnsi="等线"/>
          <w:sz w:val="18"/>
          <w:szCs w:val="18"/>
          <w:vertAlign w:val="superscript"/>
        </w:rPr>
        <w:t>TM</w:t>
      </w:r>
      <w:r>
        <w:rPr>
          <w:rFonts w:hint="eastAsia" w:hAnsi="等线"/>
          <w:sz w:val="18"/>
          <w:szCs w:val="18"/>
          <w:vertAlign w:val="superscript"/>
          <w:lang w:val="en-US" w:eastAsia="zh-CN"/>
        </w:rPr>
        <w:t xml:space="preserve"> </w:t>
      </w:r>
      <w:r>
        <w:rPr>
          <w:rFonts w:hint="eastAsia" w:hAnsi="等线"/>
          <w:sz w:val="18"/>
          <w:szCs w:val="18"/>
          <w:vertAlign w:val="baseline"/>
          <w:lang w:val="en-US" w:eastAsia="zh-CN"/>
        </w:rPr>
        <w:t xml:space="preserve">at. </w:t>
      </w:r>
      <w:r>
        <w:rPr>
          <w:rFonts w:hint="eastAsia" w:hAnsi="等线"/>
          <w:sz w:val="18"/>
          <w:szCs w:val="18"/>
          <w:vertAlign w:val="baseline"/>
          <w:lang w:val="en-US" w:eastAsia="zh-CN"/>
        </w:rPr>
        <w:fldChar w:fldCharType="begin"/>
      </w:r>
      <w:r>
        <w:rPr>
          <w:rFonts w:hint="eastAsia" w:hAnsi="等线"/>
          <w:sz w:val="18"/>
          <w:szCs w:val="18"/>
          <w:vertAlign w:val="baseline"/>
          <w:lang w:val="en-US" w:eastAsia="zh-CN"/>
        </w:rPr>
        <w:instrText xml:space="preserve"> HYPERLINK "https://www.oncokb.org/" </w:instrText>
      </w:r>
      <w:r>
        <w:rPr>
          <w:rFonts w:hint="eastAsia" w:hAnsi="等线"/>
          <w:sz w:val="18"/>
          <w:szCs w:val="18"/>
          <w:vertAlign w:val="baseline"/>
          <w:lang w:val="en-US" w:eastAsia="zh-CN"/>
        </w:rPr>
        <w:fldChar w:fldCharType="separate"/>
      </w:r>
      <w:r>
        <w:rPr>
          <w:rStyle w:val="25"/>
          <w:rFonts w:hint="eastAsia" w:hAnsi="等线"/>
          <w:sz w:val="18"/>
          <w:szCs w:val="18"/>
          <w:vertAlign w:val="baseline"/>
          <w:lang w:val="en-US" w:eastAsia="zh-CN"/>
        </w:rPr>
        <w:t>https://www.oncokb.org/</w:t>
      </w:r>
      <w:r>
        <w:rPr>
          <w:rFonts w:hint="eastAsia" w:hAnsi="等线"/>
          <w:sz w:val="18"/>
          <w:szCs w:val="18"/>
          <w:vertAlign w:val="baseline"/>
          <w:lang w:val="en-US" w:eastAsia="zh-CN"/>
        </w:rPr>
        <w:fldChar w:fldCharType="end"/>
      </w:r>
      <w:r>
        <w:rPr>
          <w:rFonts w:hint="eastAsia" w:hAnsi="等线"/>
          <w:sz w:val="18"/>
          <w:szCs w:val="18"/>
          <w:vertAlign w:val="baseline"/>
          <w:lang w:val="en-US" w:eastAsia="zh-CN"/>
        </w:rPr>
        <w:t>.</w:t>
      </w:r>
    </w:p>
    <w:p>
      <w:pPr>
        <w:pStyle w:val="38"/>
        <w:numPr>
          <w:ilvl w:val="0"/>
          <w:numId w:val="20"/>
        </w:numPr>
        <w:snapToGrid w:val="0"/>
        <w:spacing w:line="320" w:lineRule="exact"/>
        <w:ind w:firstLineChars="0"/>
        <w:rPr>
          <w:rFonts w:hAnsi="等线"/>
          <w:sz w:val="18"/>
          <w:szCs w:val="18"/>
        </w:rPr>
      </w:pPr>
      <w:r>
        <w:rPr>
          <w:rFonts w:hint="eastAsia" w:hAnsi="等线"/>
          <w:sz w:val="18"/>
          <w:szCs w:val="18"/>
          <w:lang w:val="en-US" w:eastAsia="zh-CN"/>
        </w:rPr>
        <w:t xml:space="preserve">CIViC at. </w:t>
      </w:r>
      <w:r>
        <w:rPr>
          <w:rFonts w:hint="eastAsia" w:hAnsi="等线"/>
          <w:sz w:val="18"/>
          <w:szCs w:val="18"/>
          <w:lang w:val="en-US" w:eastAsia="zh-CN"/>
        </w:rPr>
        <w:fldChar w:fldCharType="begin"/>
      </w:r>
      <w:r>
        <w:rPr>
          <w:rFonts w:hint="eastAsia" w:hAnsi="等线"/>
          <w:sz w:val="18"/>
          <w:szCs w:val="18"/>
          <w:lang w:val="en-US" w:eastAsia="zh-CN"/>
        </w:rPr>
        <w:instrText xml:space="preserve"> HYPERLINK "https://civicdb.org/welcome" </w:instrText>
      </w:r>
      <w:r>
        <w:rPr>
          <w:rFonts w:hint="eastAsia" w:hAnsi="等线"/>
          <w:sz w:val="18"/>
          <w:szCs w:val="18"/>
          <w:lang w:val="en-US" w:eastAsia="zh-CN"/>
        </w:rPr>
        <w:fldChar w:fldCharType="separate"/>
      </w:r>
      <w:r>
        <w:rPr>
          <w:rStyle w:val="25"/>
          <w:rFonts w:hint="eastAsia" w:hAnsi="等线"/>
          <w:sz w:val="18"/>
          <w:szCs w:val="18"/>
          <w:lang w:val="en-US" w:eastAsia="zh-CN"/>
        </w:rPr>
        <w:t>https://civicdb.org/welcome</w:t>
      </w:r>
      <w:r>
        <w:rPr>
          <w:rFonts w:hint="eastAsia" w:hAnsi="等线"/>
          <w:sz w:val="18"/>
          <w:szCs w:val="18"/>
          <w:lang w:val="en-US" w:eastAsia="zh-CN"/>
        </w:rPr>
        <w:fldChar w:fldCharType="end"/>
      </w:r>
      <w:r>
        <w:rPr>
          <w:rFonts w:hint="eastAsia" w:hAnsi="等线"/>
          <w:sz w:val="18"/>
          <w:szCs w:val="18"/>
          <w:lang w:val="en-US" w:eastAsia="zh-CN"/>
        </w:rPr>
        <w:t>.</w:t>
      </w:r>
    </w:p>
    <w:p>
      <w:pPr>
        <w:pStyle w:val="38"/>
        <w:numPr>
          <w:ilvl w:val="0"/>
          <w:numId w:val="20"/>
        </w:numPr>
        <w:snapToGrid w:val="0"/>
        <w:spacing w:line="320" w:lineRule="exact"/>
        <w:ind w:firstLineChars="0"/>
        <w:rPr>
          <w:rFonts w:hAnsi="等线"/>
          <w:sz w:val="18"/>
          <w:szCs w:val="18"/>
        </w:rPr>
      </w:pPr>
      <w:r>
        <w:rPr>
          <w:rFonts w:hAnsi="等线"/>
          <w:sz w:val="18"/>
          <w:szCs w:val="18"/>
        </w:rPr>
        <w:t>My Cancer Genome at</w:t>
      </w:r>
      <w:r>
        <w:rPr>
          <w:rFonts w:hint="eastAsia" w:hAnsi="等线"/>
          <w:sz w:val="18"/>
          <w:szCs w:val="18"/>
          <w:lang w:val="en-US" w:eastAsia="zh-CN"/>
        </w:rPr>
        <w:t>.</w:t>
      </w:r>
      <w:r>
        <w:rPr>
          <w:rFonts w:hAnsi="等线"/>
          <w:sz w:val="18"/>
          <w:szCs w:val="18"/>
        </w:rPr>
        <w:t xml:space="preserve"> </w:t>
      </w:r>
      <w:r>
        <w:rPr>
          <w:rStyle w:val="25"/>
          <w:rFonts w:hAnsi="等线"/>
          <w:sz w:val="18"/>
          <w:szCs w:val="18"/>
        </w:rPr>
        <w:t>http://www.mycancergenome.org</w:t>
      </w:r>
      <w:r>
        <w:rPr>
          <w:rStyle w:val="25"/>
          <w:rFonts w:hint="eastAsia" w:hAnsi="等线"/>
          <w:sz w:val="18"/>
          <w:szCs w:val="18"/>
          <w:lang w:val="en-US" w:eastAsia="zh-CN"/>
        </w:rPr>
        <w:t>.</w:t>
      </w:r>
    </w:p>
    <w:p>
      <w:pPr>
        <w:pStyle w:val="38"/>
        <w:numPr>
          <w:ilvl w:val="0"/>
          <w:numId w:val="20"/>
        </w:numPr>
        <w:snapToGrid w:val="0"/>
        <w:spacing w:line="320" w:lineRule="exact"/>
        <w:ind w:firstLineChars="0"/>
        <w:rPr>
          <w:rFonts w:hAnsi="等线"/>
          <w:sz w:val="18"/>
          <w:szCs w:val="18"/>
        </w:rPr>
      </w:pPr>
      <w:r>
        <w:rPr>
          <w:rFonts w:hint="eastAsia" w:hAnsi="等线"/>
          <w:sz w:val="18"/>
          <w:szCs w:val="18"/>
        </w:rPr>
        <w:t xml:space="preserve">Personalized Cancer Therapy: Knowledge Base for Precision Oncology at. </w:t>
      </w:r>
      <w:r>
        <w:fldChar w:fldCharType="begin"/>
      </w:r>
      <w:r>
        <w:instrText xml:space="preserve"> HYPERLINK "https://pct.mdanderson.org/" \l "/home" </w:instrText>
      </w:r>
      <w:r>
        <w:fldChar w:fldCharType="separate"/>
      </w:r>
      <w:r>
        <w:rPr>
          <w:rStyle w:val="25"/>
          <w:rFonts w:hint="eastAsia" w:hAnsi="等线"/>
          <w:sz w:val="18"/>
          <w:szCs w:val="18"/>
        </w:rPr>
        <w:t>https://pct.mdanderson.org/#/home</w:t>
      </w:r>
      <w:r>
        <w:rPr>
          <w:rStyle w:val="25"/>
          <w:rFonts w:hint="eastAsia" w:hAnsi="等线"/>
          <w:sz w:val="18"/>
          <w:szCs w:val="18"/>
        </w:rPr>
        <w:fldChar w:fldCharType="end"/>
      </w:r>
      <w:r>
        <w:rPr>
          <w:rStyle w:val="25"/>
          <w:rFonts w:hint="eastAsia" w:hAnsi="等线"/>
          <w:sz w:val="18"/>
          <w:szCs w:val="18"/>
          <w:lang w:val="en-US" w:eastAsia="zh-CN"/>
        </w:rPr>
        <w:t>.</w:t>
      </w:r>
    </w:p>
    <w:p>
      <w:pPr>
        <w:pStyle w:val="38"/>
        <w:numPr>
          <w:ilvl w:val="0"/>
          <w:numId w:val="20"/>
        </w:numPr>
        <w:snapToGrid w:val="0"/>
        <w:spacing w:line="320" w:lineRule="exact"/>
        <w:ind w:firstLineChars="0"/>
        <w:rPr>
          <w:rFonts w:hAnsi="等线"/>
          <w:sz w:val="18"/>
          <w:szCs w:val="18"/>
        </w:rPr>
      </w:pPr>
      <w:r>
        <w:rPr>
          <w:rFonts w:hint="eastAsia" w:hAnsi="等线"/>
          <w:sz w:val="18"/>
          <w:szCs w:val="18"/>
        </w:rPr>
        <w:t xml:space="preserve">ClinicalTrials.gov at. </w:t>
      </w:r>
      <w:r>
        <w:rPr>
          <w:rFonts w:hint="eastAsia" w:hAnsi="等线"/>
          <w:sz w:val="18"/>
          <w:szCs w:val="18"/>
        </w:rPr>
        <w:fldChar w:fldCharType="begin"/>
      </w:r>
      <w:r>
        <w:rPr>
          <w:rFonts w:hint="eastAsia" w:hAnsi="等线"/>
          <w:sz w:val="18"/>
          <w:szCs w:val="18"/>
        </w:rPr>
        <w:instrText xml:space="preserve"> HYPERLINK "https://clinicaltrials.gov/ct2/home" </w:instrText>
      </w:r>
      <w:r>
        <w:rPr>
          <w:rFonts w:hint="eastAsia" w:hAnsi="等线"/>
          <w:sz w:val="18"/>
          <w:szCs w:val="18"/>
        </w:rPr>
        <w:fldChar w:fldCharType="separate"/>
      </w:r>
      <w:r>
        <w:rPr>
          <w:rStyle w:val="25"/>
          <w:rFonts w:hint="eastAsia" w:hAnsi="等线"/>
          <w:sz w:val="18"/>
          <w:szCs w:val="18"/>
        </w:rPr>
        <w:t>https://clinicaltrials.gov/ct2/home</w:t>
      </w:r>
      <w:r>
        <w:rPr>
          <w:rFonts w:hint="eastAsia" w:hAnsi="等线"/>
          <w:sz w:val="18"/>
          <w:szCs w:val="18"/>
        </w:rPr>
        <w:fldChar w:fldCharType="end"/>
      </w:r>
      <w:r>
        <w:rPr>
          <w:rFonts w:hint="eastAsia" w:hAnsi="等线"/>
          <w:sz w:val="18"/>
          <w:szCs w:val="18"/>
          <w:lang w:val="en-US" w:eastAsia="zh-CN"/>
        </w:rPr>
        <w:t>.</w:t>
      </w:r>
    </w:p>
    <w:p>
      <w:pPr>
        <w:pStyle w:val="38"/>
        <w:numPr>
          <w:ilvl w:val="0"/>
          <w:numId w:val="20"/>
        </w:numPr>
        <w:snapToGrid w:val="0"/>
        <w:spacing w:line="320" w:lineRule="exact"/>
        <w:ind w:firstLineChars="0"/>
        <w:rPr>
          <w:rFonts w:hAnsi="等线"/>
          <w:sz w:val="18"/>
          <w:szCs w:val="18"/>
        </w:rPr>
      </w:pPr>
      <w:r>
        <w:rPr>
          <w:rFonts w:hAnsi="等线"/>
          <w:sz w:val="18"/>
          <w:szCs w:val="18"/>
        </w:rPr>
        <w:t xml:space="preserve">PharmGKB: The Pharmacogenomics Knowledgebase. Available online at: </w:t>
      </w:r>
      <w:r>
        <w:fldChar w:fldCharType="begin"/>
      </w:r>
      <w:r>
        <w:instrText xml:space="preserve"> HYPERLINK "http://www.pharmgkb.org/index.jsp" </w:instrText>
      </w:r>
      <w:r>
        <w:fldChar w:fldCharType="separate"/>
      </w:r>
      <w:r>
        <w:rPr>
          <w:rStyle w:val="25"/>
          <w:rFonts w:hAnsi="等线"/>
          <w:sz w:val="18"/>
          <w:szCs w:val="18"/>
        </w:rPr>
        <w:t>http://www.pharmgkb.org/index.jsp</w:t>
      </w:r>
      <w:r>
        <w:rPr>
          <w:rStyle w:val="25"/>
          <w:rFonts w:hAnsi="等线"/>
          <w:sz w:val="18"/>
          <w:szCs w:val="18"/>
        </w:rPr>
        <w:fldChar w:fldCharType="end"/>
      </w:r>
      <w:r>
        <w:rPr>
          <w:rStyle w:val="25"/>
          <w:rFonts w:hint="eastAsia" w:hAnsi="等线"/>
          <w:sz w:val="18"/>
          <w:szCs w:val="18"/>
          <w:lang w:val="en-US" w:eastAsia="zh-CN"/>
        </w:rPr>
        <w:t>.</w:t>
      </w:r>
    </w:p>
    <w:p>
      <w:pPr>
        <w:pStyle w:val="38"/>
        <w:numPr>
          <w:ilvl w:val="0"/>
          <w:numId w:val="20"/>
        </w:numPr>
        <w:snapToGrid w:val="0"/>
        <w:spacing w:line="320" w:lineRule="exact"/>
        <w:ind w:firstLineChars="0"/>
        <w:rPr>
          <w:rFonts w:hAnsi="等线"/>
          <w:sz w:val="18"/>
          <w:szCs w:val="18"/>
        </w:rPr>
      </w:pPr>
      <w:r>
        <w:rPr>
          <w:rFonts w:hint="eastAsia" w:hAnsi="等线"/>
          <w:sz w:val="18"/>
          <w:szCs w:val="18"/>
        </w:rPr>
        <w:t>Clinical Pharmacogenetics Implementation Consortium (CPIC</w:t>
      </w:r>
      <w:r>
        <w:rPr>
          <w:rFonts w:hint="eastAsia" w:hAnsi="等线"/>
          <w:sz w:val="18"/>
          <w:szCs w:val="18"/>
          <w:vertAlign w:val="superscript"/>
        </w:rPr>
        <w:t>®</w:t>
      </w:r>
      <w:r>
        <w:rPr>
          <w:rFonts w:hint="eastAsia" w:hAnsi="等线"/>
          <w:sz w:val="18"/>
          <w:szCs w:val="18"/>
        </w:rPr>
        <w:t>)</w:t>
      </w:r>
      <w:r>
        <w:rPr>
          <w:rFonts w:hint="eastAsia" w:hAnsi="等线"/>
          <w:sz w:val="18"/>
          <w:szCs w:val="18"/>
          <w:lang w:val="en-US" w:eastAsia="zh-CN"/>
        </w:rPr>
        <w:t xml:space="preserve">. Available online at: </w:t>
      </w:r>
      <w:r>
        <w:rPr>
          <w:rFonts w:hint="eastAsia" w:hAnsi="等线"/>
          <w:sz w:val="18"/>
          <w:szCs w:val="18"/>
          <w:lang w:val="en-US" w:eastAsia="zh-CN"/>
        </w:rPr>
        <w:fldChar w:fldCharType="begin"/>
      </w:r>
      <w:r>
        <w:rPr>
          <w:rFonts w:hint="eastAsia" w:hAnsi="等线"/>
          <w:sz w:val="18"/>
          <w:szCs w:val="18"/>
          <w:lang w:val="en-US" w:eastAsia="zh-CN"/>
        </w:rPr>
        <w:instrText xml:space="preserve"> HYPERLINK "https://cpicpgx.org/" </w:instrText>
      </w:r>
      <w:r>
        <w:rPr>
          <w:rFonts w:hint="eastAsia" w:hAnsi="等线"/>
          <w:sz w:val="18"/>
          <w:szCs w:val="18"/>
          <w:lang w:val="en-US" w:eastAsia="zh-CN"/>
        </w:rPr>
        <w:fldChar w:fldCharType="separate"/>
      </w:r>
      <w:r>
        <w:rPr>
          <w:rStyle w:val="25"/>
          <w:rFonts w:hint="eastAsia" w:hAnsi="等线"/>
          <w:sz w:val="18"/>
          <w:szCs w:val="18"/>
          <w:lang w:val="en-US" w:eastAsia="zh-CN"/>
        </w:rPr>
        <w:t>https://cpicpgx.org/</w:t>
      </w:r>
      <w:r>
        <w:rPr>
          <w:rFonts w:hint="eastAsia" w:hAnsi="等线"/>
          <w:sz w:val="18"/>
          <w:szCs w:val="18"/>
          <w:lang w:val="en-US" w:eastAsia="zh-CN"/>
        </w:rPr>
        <w:fldChar w:fldCharType="end"/>
      </w:r>
      <w:r>
        <w:rPr>
          <w:rFonts w:hint="eastAsia" w:hAnsi="等线"/>
          <w:sz w:val="18"/>
          <w:szCs w:val="18"/>
          <w:lang w:val="en-US" w:eastAsia="zh-CN"/>
        </w:rPr>
        <w:t>.</w:t>
      </w:r>
    </w:p>
    <w:p>
      <w:pPr>
        <w:pStyle w:val="38"/>
        <w:numPr>
          <w:ilvl w:val="0"/>
          <w:numId w:val="20"/>
        </w:numPr>
        <w:snapToGrid w:val="0"/>
        <w:spacing w:line="320" w:lineRule="exact"/>
        <w:ind w:firstLineChars="0"/>
        <w:rPr>
          <w:rFonts w:hAnsi="等线"/>
          <w:sz w:val="18"/>
          <w:szCs w:val="18"/>
        </w:rPr>
      </w:pPr>
      <w:r>
        <w:rPr>
          <w:rFonts w:hAnsi="等线"/>
          <w:sz w:val="18"/>
          <w:szCs w:val="18"/>
        </w:rPr>
        <w:t>Lovly, C., L. Horn, W. Pao. (2016). Molecular Profiling of Lung Cancer. My Cancer Genome https://www.mycancergenome.org/content/disease/lung-cancer/ (Updated March 28).</w:t>
      </w:r>
    </w:p>
    <w:p>
      <w:pPr>
        <w:pStyle w:val="38"/>
        <w:numPr>
          <w:ilvl w:val="0"/>
          <w:numId w:val="20"/>
        </w:numPr>
        <w:snapToGrid w:val="0"/>
        <w:spacing w:line="320" w:lineRule="exact"/>
        <w:ind w:firstLineChars="0"/>
        <w:rPr>
          <w:rFonts w:hAnsi="等线"/>
          <w:sz w:val="18"/>
          <w:szCs w:val="18"/>
        </w:rPr>
      </w:pPr>
      <w:r>
        <w:rPr>
          <w:rFonts w:hint="eastAsia" w:hAnsi="等线"/>
          <w:sz w:val="18"/>
          <w:szCs w:val="18"/>
        </w:rPr>
        <w:t>中国临床肿瘤学会结直肠癌专家委员会，中国抗癌协会大肠癌专业委员会遗传学组，中国医师协会结直肠肿瘤专业委员会遗传专委会(2019).结直肠癌及其他相关实体瘤微卫星不稳定性检测中国专家共识. 中华肿瘤杂志(10),734-735-736-737-738-739-740-741.</w:t>
      </w:r>
    </w:p>
    <w:p>
      <w:pPr>
        <w:pStyle w:val="38"/>
        <w:numPr>
          <w:ilvl w:val="0"/>
          <w:numId w:val="20"/>
        </w:numPr>
        <w:snapToGrid w:val="0"/>
        <w:spacing w:line="320" w:lineRule="exact"/>
        <w:ind w:firstLineChars="0"/>
        <w:rPr>
          <w:rFonts w:hAnsi="等线"/>
          <w:sz w:val="18"/>
          <w:szCs w:val="18"/>
        </w:rPr>
      </w:pPr>
      <w:r>
        <w:rPr>
          <w:rFonts w:hint="eastAsia" w:hAnsi="等线"/>
          <w:sz w:val="18"/>
          <w:szCs w:val="18"/>
        </w:rPr>
        <w:t xml:space="preserve">Adam MP, Mirzaa GM, Pagon RA, et al., editors. GeneReviews® [Internet]. Seattle (WA): University of Washington, Seattle; 1993-2023. Available from: </w:t>
      </w:r>
      <w:r>
        <w:rPr>
          <w:rFonts w:hint="eastAsia" w:hAnsi="等线"/>
          <w:sz w:val="18"/>
          <w:szCs w:val="18"/>
        </w:rPr>
        <w:fldChar w:fldCharType="begin"/>
      </w:r>
      <w:r>
        <w:rPr>
          <w:rFonts w:hint="eastAsia" w:hAnsi="等线"/>
          <w:sz w:val="18"/>
          <w:szCs w:val="18"/>
        </w:rPr>
        <w:instrText xml:space="preserve"> HYPERLINK "https://www.ncbi.nlm.nih.gov/books/NBK1116/." </w:instrText>
      </w:r>
      <w:r>
        <w:rPr>
          <w:rFonts w:hint="eastAsia" w:hAnsi="等线"/>
          <w:sz w:val="18"/>
          <w:szCs w:val="18"/>
        </w:rPr>
        <w:fldChar w:fldCharType="separate"/>
      </w:r>
      <w:r>
        <w:rPr>
          <w:rStyle w:val="25"/>
          <w:rFonts w:hint="eastAsia" w:hAnsi="等线"/>
          <w:sz w:val="18"/>
          <w:szCs w:val="18"/>
        </w:rPr>
        <w:t>https://www.ncbi.nlm.nih.gov/books/NBK1116/</w:t>
      </w:r>
      <w:r>
        <w:rPr>
          <w:rStyle w:val="25"/>
          <w:rFonts w:hint="eastAsia" w:hAnsi="等线"/>
          <w:sz w:val="18"/>
          <w:szCs w:val="18"/>
          <w:lang w:val="en-US" w:eastAsia="zh-CN"/>
        </w:rPr>
        <w:t>.</w:t>
      </w:r>
      <w:r>
        <w:rPr>
          <w:rFonts w:hint="eastAsia" w:hAnsi="等线"/>
          <w:sz w:val="18"/>
          <w:szCs w:val="18"/>
        </w:rPr>
        <w:fldChar w:fldCharType="end"/>
      </w:r>
    </w:p>
    <w:p>
      <w:pPr>
        <w:pStyle w:val="38"/>
        <w:numPr>
          <w:ilvl w:val="0"/>
          <w:numId w:val="20"/>
        </w:numPr>
        <w:snapToGrid w:val="0"/>
        <w:spacing w:line="320" w:lineRule="exact"/>
        <w:ind w:firstLineChars="0"/>
        <w:rPr>
          <w:rFonts w:hAnsi="等线"/>
          <w:sz w:val="18"/>
          <w:szCs w:val="18"/>
        </w:rPr>
      </w:pPr>
      <w:r>
        <w:rPr>
          <w:rFonts w:hint="eastAsia" w:hAnsi="等线"/>
          <w:sz w:val="18"/>
          <w:szCs w:val="18"/>
        </w:rPr>
        <w:t>Dienstmann, R., Vermeulen, L., Guinney, J., Kopetz, S., Tejpar, S.,  Tabernero, J. (2017). Consensus molecular subtypes and the evolution of precision medicine in colorectal cancer. Nature reviews. Cancer, 17(2), 79–92.</w:t>
      </w:r>
    </w:p>
    <w:p>
      <w:pPr>
        <w:pStyle w:val="38"/>
        <w:numPr>
          <w:ilvl w:val="0"/>
          <w:numId w:val="20"/>
        </w:numPr>
        <w:snapToGrid w:val="0"/>
        <w:spacing w:line="320" w:lineRule="exact"/>
        <w:ind w:firstLineChars="0"/>
        <w:rPr>
          <w:rFonts w:hAnsi="等线"/>
          <w:sz w:val="18"/>
          <w:szCs w:val="18"/>
        </w:rPr>
      </w:pPr>
      <w:r>
        <w:rPr>
          <w:rFonts w:hint="eastAsia" w:hAnsi="等线"/>
          <w:sz w:val="18"/>
          <w:szCs w:val="18"/>
        </w:rPr>
        <w:t>Ciardiello, F., Ciardiello, D., Martini, G., Napolitano, S., Tabernero, J.,  Cervantes, A. (2022). Clinical management of metastatic colorectal cancer in the era of precision medicine. CA: a cancer journal for clinicians, 72(4), 372–401.</w:t>
      </w:r>
    </w:p>
    <w:p>
      <w:pPr>
        <w:pStyle w:val="38"/>
        <w:numPr>
          <w:ilvl w:val="0"/>
          <w:numId w:val="20"/>
        </w:numPr>
        <w:snapToGrid w:val="0"/>
        <w:spacing w:line="320" w:lineRule="exact"/>
        <w:ind w:firstLineChars="0"/>
        <w:rPr>
          <w:rFonts w:hAnsi="等线"/>
          <w:sz w:val="18"/>
          <w:szCs w:val="18"/>
        </w:rPr>
      </w:pPr>
      <w:r>
        <w:rPr>
          <w:rFonts w:hint="eastAsia" w:hAnsi="等线"/>
          <w:sz w:val="18"/>
          <w:szCs w:val="18"/>
        </w:rPr>
        <w:t>Di Nicolantonio, F., Vitiello, P. P., Marsoni, S., Siena, S., Tabernero, J., Trusolino, L., Bernards, R.,  Bardelli, A. (2021). Precision oncology in metastatic colorectal cancer - from biology to medicine. Nature reviews. Clinical oncology, 18(8), 506–525.</w:t>
      </w:r>
    </w:p>
    <w:p>
      <w:pPr>
        <w:pStyle w:val="38"/>
        <w:numPr>
          <w:ilvl w:val="0"/>
          <w:numId w:val="20"/>
        </w:numPr>
        <w:snapToGrid w:val="0"/>
        <w:spacing w:line="320" w:lineRule="exact"/>
        <w:ind w:firstLineChars="0"/>
        <w:rPr>
          <w:rFonts w:hAnsi="等线"/>
          <w:sz w:val="18"/>
          <w:szCs w:val="18"/>
        </w:rPr>
      </w:pPr>
      <w:r>
        <w:rPr>
          <w:rFonts w:hint="eastAsia" w:hAnsi="等线"/>
          <w:sz w:val="18"/>
          <w:szCs w:val="18"/>
        </w:rPr>
        <w:t>Pietrantonio, F., Di Nicolantonio, F., Schrock, A. B., Lee, J., Tejpar, S., Sartore-Bianchi, A., Hechtman, J. F., Christiansen, J., Novara, L., Tebbutt, N., Fucà, G., Antoniotti, C., Kim, S. T., Murphy, D., Berenato, R., Morano, F., Sun, J., Min, B., Stephens, P. J., Chen, M., … Cremolini, C. (2017). ALK, ROS1, and NTRK Rearrangements in Metastatic Colorectal Cancer. Journal of the National Cancer Institute, 109(12), 10.1093/jnci/djx089.</w:t>
      </w:r>
    </w:p>
    <w:p>
      <w:pPr>
        <w:pStyle w:val="38"/>
        <w:numPr>
          <w:ilvl w:val="0"/>
          <w:numId w:val="20"/>
        </w:numPr>
        <w:snapToGrid w:val="0"/>
        <w:spacing w:line="320" w:lineRule="exact"/>
        <w:ind w:firstLineChars="0"/>
        <w:rPr>
          <w:rFonts w:hAnsi="等线"/>
          <w:sz w:val="18"/>
          <w:szCs w:val="18"/>
        </w:rPr>
      </w:pPr>
      <w:r>
        <w:rPr>
          <w:rFonts w:hint="eastAsia" w:hAnsi="等线"/>
          <w:sz w:val="18"/>
          <w:szCs w:val="18"/>
        </w:rPr>
        <w:t>Grothey, A., Fakih, M.,  Tabernero, J. (2021). Management of BRAF-mutant metastatic colorectal cancer: a review of treatment options and evidence-based guidelines. Annals of oncology : official journal of the European Society for Medical Oncology, 32(8), 959–967.</w:t>
      </w:r>
    </w:p>
    <w:p>
      <w:pPr>
        <w:pStyle w:val="38"/>
        <w:numPr>
          <w:ilvl w:val="0"/>
          <w:numId w:val="20"/>
        </w:numPr>
        <w:snapToGrid w:val="0"/>
        <w:spacing w:line="320" w:lineRule="exact"/>
        <w:ind w:firstLineChars="0"/>
        <w:rPr>
          <w:rFonts w:hAnsi="等线"/>
          <w:sz w:val="18"/>
          <w:szCs w:val="18"/>
        </w:rPr>
      </w:pPr>
      <w:r>
        <w:rPr>
          <w:rFonts w:hint="eastAsia" w:hAnsi="等线"/>
          <w:sz w:val="18"/>
          <w:szCs w:val="18"/>
        </w:rPr>
        <w:t>Morris, V. K., Kennedy, E. B., Baxter, N. N., Benson, A. B., 3rd, Cercek, A., Cho, M., Ciombor, K. K., Cremolini, C., Davis, A., Deming, D. A., Fakih, M. G., Gholami, S., Hong, T. S., Jaiyesimi, I., Klute, K., Lieu, C., Sanoff, H., Strickler, J. H., White, S., Willis, J. A., … Eng, C. (2023). Treatment of Metastatic Colorectal Cancer: ASCO Guideline. Journal of clinical oncology : official journal of the American Society of Clinical Oncology, 41(3), 678–700.</w:t>
      </w:r>
    </w:p>
    <w:p>
      <w:pPr>
        <w:pStyle w:val="38"/>
        <w:numPr>
          <w:ilvl w:val="0"/>
          <w:numId w:val="20"/>
        </w:numPr>
        <w:snapToGrid w:val="0"/>
        <w:spacing w:line="320" w:lineRule="exact"/>
        <w:ind w:firstLineChars="0"/>
        <w:rPr>
          <w:rFonts w:hAnsi="等线"/>
          <w:sz w:val="18"/>
          <w:szCs w:val="18"/>
        </w:rPr>
      </w:pPr>
      <w:r>
        <w:rPr>
          <w:rFonts w:hint="eastAsia" w:hAnsi="等线"/>
          <w:sz w:val="18"/>
          <w:szCs w:val="18"/>
        </w:rPr>
        <w:t>Zhu, G., Pei, L., Xia, H., Tang, Q.,  Bi, F. (2021). Role of oncogenic KRAS in the prognosis, diagnosis and treatment of colorectal cancer. Molecular cancer, 20(1), 143.</w:t>
      </w:r>
    </w:p>
    <w:p>
      <w:pPr>
        <w:pStyle w:val="38"/>
        <w:numPr>
          <w:ilvl w:val="0"/>
          <w:numId w:val="20"/>
        </w:numPr>
        <w:snapToGrid w:val="0"/>
        <w:spacing w:line="320" w:lineRule="exact"/>
        <w:ind w:firstLineChars="0"/>
        <w:rPr>
          <w:rFonts w:hint="eastAsia" w:hAnsi="等线"/>
          <w:sz w:val="18"/>
          <w:szCs w:val="18"/>
        </w:rPr>
      </w:pPr>
      <w:r>
        <w:rPr>
          <w:rFonts w:hint="eastAsia" w:hAnsi="等线"/>
          <w:sz w:val="18"/>
          <w:szCs w:val="18"/>
        </w:rPr>
        <w:t>Suwaidan, A. A., Lau, D. K.,  Chau, I. (2022). HER2 targeted therapy in colorectal cancer: New horizons. Cancer treatment reviews, 105, 102363.</w:t>
      </w:r>
    </w:p>
    <w:p>
      <w:pPr>
        <w:pStyle w:val="38"/>
        <w:numPr>
          <w:ilvl w:val="0"/>
          <w:numId w:val="20"/>
        </w:numPr>
        <w:snapToGrid w:val="0"/>
        <w:spacing w:line="320" w:lineRule="exact"/>
        <w:ind w:firstLineChars="0"/>
        <w:rPr>
          <w:rFonts w:hAnsi="等线"/>
          <w:sz w:val="18"/>
          <w:szCs w:val="18"/>
        </w:rPr>
      </w:pPr>
      <w:r>
        <w:rPr>
          <w:rFonts w:hint="eastAsia" w:hAnsi="等线"/>
          <w:sz w:val="18"/>
          <w:szCs w:val="18"/>
        </w:rPr>
        <w:t>Siena, S., Di Bartolomeo, M., Raghav, K., Masuishi, T., Loupakis, F., Kawakami, H., Yamaguchi, K., Nishina, T., Fakih, M., Elez, E., Rodriguez, J., Ciardiello, F., Komatsu, Y., Esaki, T., Chung, K., Wainberg, Z., Sartore-Bianchi, A., Saxena, K., Yamamoto, E., Bako, E., … DESTINY-CRC01 investigators (2021). Trastuzumab deruxtecan (DS-8201) in patients with HER2-expressing metastatic colorectal cancer (DESTINY-CRC01): a multicentre, open-label, phase 2 trial. The Lancet. Oncology, 22(6), 779–789.</w:t>
      </w:r>
    </w:p>
    <w:p>
      <w:pPr>
        <w:pStyle w:val="38"/>
        <w:numPr>
          <w:ilvl w:val="0"/>
          <w:numId w:val="20"/>
        </w:numPr>
        <w:snapToGrid w:val="0"/>
        <w:spacing w:line="320" w:lineRule="exact"/>
        <w:ind w:firstLineChars="0"/>
        <w:rPr>
          <w:rFonts w:hAnsi="等线"/>
          <w:sz w:val="18"/>
          <w:szCs w:val="18"/>
        </w:rPr>
      </w:pPr>
      <w:r>
        <w:rPr>
          <w:rFonts w:hint="eastAsia" w:hAnsi="等线"/>
          <w:sz w:val="18"/>
          <w:szCs w:val="18"/>
        </w:rPr>
        <w:t>Cocco, E., Scaltriti, M.,  Drilon, A. (2018). NTRK fusion-positive cancers and TRK inhibitor therapy. Nature reviews. Clinical oncology, 15(12), 731–747.</w:t>
      </w:r>
    </w:p>
    <w:p>
      <w:pPr>
        <w:pStyle w:val="38"/>
        <w:numPr>
          <w:ilvl w:val="0"/>
          <w:numId w:val="20"/>
        </w:numPr>
        <w:snapToGrid w:val="0"/>
        <w:spacing w:line="320" w:lineRule="exact"/>
        <w:ind w:firstLineChars="0"/>
        <w:rPr>
          <w:rFonts w:hAnsi="等线"/>
          <w:sz w:val="18"/>
          <w:szCs w:val="18"/>
        </w:rPr>
      </w:pPr>
      <w:r>
        <w:rPr>
          <w:rFonts w:hint="eastAsia" w:hAnsi="等线"/>
          <w:sz w:val="18"/>
          <w:szCs w:val="18"/>
        </w:rPr>
        <w:t>Drilon, A., Hu, Z. I., Lai, G. G. Y.,  Tan, D. S. W. (2018). Targeting RET-driven cancers: lessons from evolving preclinical and clinical landscapes. Nature reviews. Clinical oncology, 15(3), 151–167.</w:t>
      </w:r>
    </w:p>
    <w:p>
      <w:pPr>
        <w:pStyle w:val="38"/>
        <w:numPr>
          <w:ilvl w:val="0"/>
          <w:numId w:val="20"/>
        </w:numPr>
        <w:snapToGrid w:val="0"/>
        <w:spacing w:line="320" w:lineRule="exact"/>
        <w:ind w:firstLineChars="0"/>
        <w:rPr>
          <w:rFonts w:hAnsi="等线"/>
          <w:sz w:val="18"/>
          <w:szCs w:val="18"/>
        </w:rPr>
      </w:pPr>
      <w:r>
        <w:rPr>
          <w:rFonts w:hint="eastAsia" w:hAnsi="等线"/>
          <w:sz w:val="18"/>
          <w:szCs w:val="18"/>
        </w:rPr>
        <w:t>Infante, J. R., Fecher, L. A., Falchook, G. S., Nallapareddy, S., Gordon, M. S., Becerra, C., DeMarini, D. J., Cox, D. S., Xu, Y., Morris, S. R., Peddareddigari, V. G., Le, N. T., Hart, L., Bendell, J. C., Eckhardt, G., Kurzrock, R., Flaherty, K., Burris, H. A., 3rd,  Messersmith, W. A. (2012). Safety, pharmacokinetic, pharmacodynamic, and efficacy data for the oral MEK inhibitor trametinib: a phase 1 dose-escalation trial. The Lancet. Oncology, 13(8), 773–781.</w:t>
      </w:r>
    </w:p>
    <w:p>
      <w:pPr>
        <w:pStyle w:val="38"/>
        <w:numPr>
          <w:ilvl w:val="0"/>
          <w:numId w:val="20"/>
        </w:numPr>
        <w:snapToGrid w:val="0"/>
        <w:spacing w:line="320" w:lineRule="exact"/>
        <w:ind w:firstLineChars="0"/>
        <w:rPr>
          <w:rFonts w:hAnsi="等线"/>
          <w:sz w:val="18"/>
          <w:szCs w:val="18"/>
        </w:rPr>
      </w:pPr>
      <w:r>
        <w:rPr>
          <w:rFonts w:hint="eastAsia" w:hAnsi="等线"/>
          <w:sz w:val="18"/>
          <w:szCs w:val="18"/>
        </w:rPr>
        <w:t>Yap, T. A., O'Carrigan, B., Penney, M. S., Lim, J. S., Brown, J. S., de Miguel Luken, M. J., Tunariu, N., Perez-Lopez, R., Rodrigues, D. N., Riisnaes, R., Figueiredo, I., Carreira, S., Hare, B., McDermott, K., Khalique, S., Williamson, C. T., Natrajan, R., Pettitt, S. J., Lord, C. J., Banerji, U., … de Bono, J. S. (2020). Phase I Trial of First-in-Class ATR Inhibitor M6620 (VX-970) as Monotherapy or in Combination With Carboplatin in Patients With Advanced Solid Tumors. Journal of clinical oncology : official journal of the American Society of Clinical Oncology, 38(27), 3195–3204.</w:t>
      </w:r>
    </w:p>
    <w:p>
      <w:pPr>
        <w:pStyle w:val="38"/>
        <w:numPr>
          <w:ilvl w:val="0"/>
          <w:numId w:val="20"/>
        </w:numPr>
        <w:snapToGrid w:val="0"/>
        <w:spacing w:line="320" w:lineRule="exact"/>
        <w:ind w:firstLineChars="0"/>
        <w:rPr>
          <w:rFonts w:hAnsi="等线"/>
          <w:sz w:val="18"/>
          <w:szCs w:val="18"/>
        </w:rPr>
      </w:pPr>
      <w:r>
        <w:rPr>
          <w:rFonts w:hint="eastAsia" w:hAnsi="等线"/>
          <w:sz w:val="18"/>
          <w:szCs w:val="18"/>
        </w:rPr>
        <w:t>Van Cutsem, E., Huijberts, S., Grothey, A., Yaeger, R., Cuyle, P. J., Elez, E., Fakih, M., Montagut, C., Peeters, M., Yoshino, T., Wasan, H., Desai, J., Ciardiello, F., Gollerkeri, A., Christy-Bittel, J., Maharry, K., Sandor, V., Schellens, J. H. M., Kopetz, S.,  Tabernero, J. (2019). Binimetinib, Encorafenib, and Cetuximab Triplet Therapy for Patients With BRAF V600E-Mutant Metastatic Colorectal Cancer: Safety Lead-In Results From the Phase III BEACON Colorectal Cancer Study. Journal of clinical oncology : official journal of the American Society of Clinical Oncology, 37(17), 1460–1469.</w:t>
      </w:r>
    </w:p>
    <w:p>
      <w:pPr>
        <w:pStyle w:val="38"/>
        <w:numPr>
          <w:ilvl w:val="0"/>
          <w:numId w:val="20"/>
        </w:numPr>
        <w:snapToGrid w:val="0"/>
        <w:spacing w:line="320" w:lineRule="exact"/>
        <w:ind w:firstLineChars="0"/>
        <w:rPr>
          <w:rFonts w:hAnsi="等线"/>
          <w:sz w:val="18"/>
          <w:szCs w:val="18"/>
        </w:rPr>
      </w:pPr>
      <w:r>
        <w:rPr>
          <w:rFonts w:hint="eastAsia" w:hAnsi="等线"/>
          <w:sz w:val="18"/>
          <w:szCs w:val="18"/>
        </w:rPr>
        <w:t>Russo, M., Siravegna, G., Blaszkowsky, L. S., Corti, G., Crisafulli, G., Ahronian, L. G., Mussolin, B., Kwak, E. L., Buscarino, M., Lazzari, L., Valtorta, E., Truini, M., Jessop, N. A., Robinson, H. E., Hong, T. S., Mino-Kenudson, M., Di Nicolantonio, F., Thabet, A., Sartore-Bianchi, A., Siena, S., … Corcoran, R. B. (2016). Tumor Heterogeneity and Lesion-Specific Response to Targeted Therapy in Colorectal Cancer. Cancer discovery, 6(2), 147–153.</w:t>
      </w:r>
    </w:p>
    <w:p>
      <w:pPr>
        <w:pStyle w:val="38"/>
        <w:numPr>
          <w:ilvl w:val="0"/>
          <w:numId w:val="20"/>
        </w:numPr>
        <w:snapToGrid w:val="0"/>
        <w:spacing w:line="320" w:lineRule="exact"/>
        <w:ind w:firstLineChars="0"/>
        <w:rPr>
          <w:rFonts w:hAnsi="等线"/>
          <w:sz w:val="18"/>
          <w:szCs w:val="18"/>
        </w:rPr>
      </w:pPr>
      <w:r>
        <w:rPr>
          <w:rFonts w:hint="eastAsia" w:hAnsi="等线"/>
          <w:sz w:val="18"/>
          <w:szCs w:val="18"/>
        </w:rPr>
        <w:t>Toledo, R. A., Garralda, E., Mitsi, M., Pons, T., Monsech, J., Vega, E., Otero, Á., Albarran, M. I., Baños, N., Durán, Y., Bonilla, V., Sarno, F., Camacho-Artacho, M., Sanchez-Perez, T., Perea, S., Álvarez, R., De Martino, A., Lietha, D., Blanco-Aparicio, C., Cubillo, A., … Hidalgo, M. (2018). Exome Sequencing of Plasma DNA Portrays the Mutation Landscape of Colorectal Cancer and Discovers Mutated VEGFR2 Receptors as Modulators of Antiangiogenic Therapies. Clinical cancer research : an official journal of the American Association for Cancer Research, 24(15), 3550–3559.</w:t>
      </w:r>
    </w:p>
    <w:p>
      <w:pPr>
        <w:pStyle w:val="38"/>
        <w:numPr>
          <w:ilvl w:val="0"/>
          <w:numId w:val="20"/>
        </w:numPr>
        <w:snapToGrid w:val="0"/>
        <w:spacing w:line="320" w:lineRule="exact"/>
        <w:ind w:firstLineChars="0"/>
        <w:rPr>
          <w:rFonts w:hAnsi="等线"/>
          <w:sz w:val="18"/>
          <w:szCs w:val="18"/>
        </w:rPr>
      </w:pPr>
      <w:r>
        <w:rPr>
          <w:rFonts w:hint="eastAsia" w:hAnsi="等线"/>
          <w:sz w:val="18"/>
          <w:szCs w:val="18"/>
        </w:rPr>
        <w:t>Xu, J. M., Wang, Y., Wang, Y. L., Wang, Y., Liu, T., Ni, M., Li, M. S., Lin, L., Ge, F. J., Gong, C., Gu, J. Y., Jia, R., Wang, H. F., Chen, Y. L., Liu, R. R., Zhao, C. H., Tan, Z. L., Jin, Y., Zhu, Y. P., Ogino, S., … Qian, Z. R. (2017). PIK3CA Mutations Contribute to Acquired Cetuximab Resistance in Patients with Metastatic Colorectal Cancer. Clinical cancer research : an official journal of the American Association for Cancer Research, 23(16), 4602–4616.</w:t>
      </w:r>
    </w:p>
    <w:p>
      <w:pPr>
        <w:pStyle w:val="38"/>
        <w:numPr>
          <w:ilvl w:val="0"/>
          <w:numId w:val="20"/>
        </w:numPr>
        <w:snapToGrid w:val="0"/>
        <w:spacing w:line="320" w:lineRule="exact"/>
        <w:ind w:firstLineChars="0"/>
        <w:rPr>
          <w:rFonts w:hAnsi="等线"/>
          <w:sz w:val="18"/>
          <w:szCs w:val="18"/>
        </w:rPr>
      </w:pPr>
      <w:r>
        <w:rPr>
          <w:rFonts w:hint="eastAsia" w:hAnsi="等线"/>
          <w:sz w:val="18"/>
          <w:szCs w:val="18"/>
        </w:rPr>
        <w:t>Bahleda, R., Meric-Bernstam, F., Goyal, L., Tran, B., He, Y., Yamamiya, I., Benhadji, K. A., Matos, I.,  Arkenau, H. T. (2020). Phase I, first-in-human study of futibatinib, a highly selective, irreversible FGFR1-4 inhibitor in patients with advanced solid tumors. Annals of oncology : official journal of the European Society for Medical Oncology, 31(10), 1405–1412.</w:t>
      </w:r>
    </w:p>
    <w:sectPr>
      <w:headerReference r:id="rId6" w:type="default"/>
      <w:footerReference r:id="rId7" w:type="default"/>
      <w:pgSz w:w="11906" w:h="16838"/>
      <w:pgMar w:top="851" w:right="991" w:bottom="1440" w:left="1276" w:header="510" w:footer="567" w:gutter="0"/>
      <w:pgBorders>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 w:name="等线 Light">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NEU-BZ-Regular">
    <w:altName w:val="Segoe Print"/>
    <w:panose1 w:val="00000000000000000000"/>
    <w:charset w:val="00"/>
    <w:family w:val="auto"/>
    <w:pitch w:val="default"/>
    <w:sig w:usb0="00000000" w:usb1="00000000" w:usb2="00000000" w:usb3="00000000" w:csb0="00000000" w:csb1="00000000"/>
  </w:font>
  <w:font w:name="FZSSK--GBK1-0">
    <w:altName w:val="Segoe Print"/>
    <w:panose1 w:val="00000000000000000000"/>
    <w:charset w:val="00"/>
    <w:family w:val="auto"/>
    <w:pitch w:val="default"/>
    <w:sig w:usb0="00000000" w:usb1="00000000" w:usb2="00000000" w:usb3="00000000" w:csb0="00000000" w:csb1="00000000"/>
  </w:font>
  <w:font w:name="NEU-BZ-Italic">
    <w:altName w:val="Segoe Print"/>
    <w:panose1 w:val="00000000000000000000"/>
    <w:charset w:val="00"/>
    <w:family w:val="auto"/>
    <w:pitch w:val="default"/>
    <w:sig w:usb0="00000000" w:usb1="00000000" w:usb2="00000000" w:usb3="00000000" w:csb0="00000000" w:csb1="00000000"/>
  </w:font>
  <w:font w:name="楷体">
    <w:panose1 w:val="02010609060101010101"/>
    <w:charset w:val="86"/>
    <w:family w:val="modern"/>
    <w:pitch w:val="default"/>
    <w:sig w:usb0="800002BF" w:usb1="38CF7CFA" w:usb2="00000016" w:usb3="00000000" w:csb0="00040001" w:csb1="00000000"/>
  </w:font>
  <w:font w:name="幼圆">
    <w:panose1 w:val="02010509060101010101"/>
    <w:charset w:val="86"/>
    <w:family w:val="modern"/>
    <w:pitch w:val="default"/>
    <w:sig w:usb0="00000001" w:usb1="080E0000" w:usb2="00000000" w:usb3="00000000" w:csb0="00040000" w:csb1="00000000"/>
  </w:font>
  <w:font w:name="华康黑体W3">
    <w:altName w:val="微软雅黑"/>
    <w:panose1 w:val="00000000000000000000"/>
    <w:charset w:val="86"/>
    <w:family w:val="modern"/>
    <w:pitch w:val="default"/>
    <w:sig w:usb0="00000000" w:usb1="00000000" w:usb2="00000012" w:usb3="00000000" w:csb0="00040000" w:csb1="00000000"/>
  </w:font>
  <w:font w:name="华文细黑">
    <w:panose1 w:val="02010600040101010101"/>
    <w:charset w:val="86"/>
    <w:family w:val="auto"/>
    <w:pitch w:val="default"/>
    <w:sig w:usb0="00000287" w:usb1="080F0000" w:usb2="00000000" w:usb3="00000000" w:csb0="0004009F" w:csb1="DFD70000"/>
  </w:font>
  <w:font w:name="Helvetica">
    <w:altName w:val="Arial"/>
    <w:panose1 w:val="020B0604020202020204"/>
    <w:charset w:val="00"/>
    <w:family w:val="swiss"/>
    <w:pitch w:val="default"/>
    <w:sig w:usb0="00000000" w:usb1="00000000" w:usb2="00000009" w:usb3="00000000" w:csb0="000001FF"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right"/>
    </w:pPr>
    <w:r>
      <mc:AlternateContent>
        <mc:Choice Requires="wps">
          <w:drawing>
            <wp:inline distT="0" distB="0" distL="0" distR="0">
              <wp:extent cx="701040" cy="441325"/>
              <wp:effectExtent l="0" t="0" r="0" b="0"/>
              <wp:docPr id="63" name="流程图: 可选过程 63"/>
              <wp:cNvGraphicFramePr/>
              <a:graphic xmlns:a="http://schemas.openxmlformats.org/drawingml/2006/main">
                <a:graphicData uri="http://schemas.microsoft.com/office/word/2010/wordprocessingShape">
                  <wps:wsp>
                    <wps:cNvSpPr>
                      <a:spLocks noChangeArrowheads="1"/>
                    </wps:cNvSpPr>
                    <wps:spPr bwMode="auto">
                      <a:xfrm>
                        <a:off x="0" y="0"/>
                        <a:ext cx="701577" cy="441325"/>
                      </a:xfrm>
                      <a:prstGeom prst="flowChartAlternateProcess">
                        <a:avLst/>
                      </a:prstGeom>
                      <a:noFill/>
                      <a:ln>
                        <a:noFill/>
                      </a:ln>
                    </wps:spPr>
                    <wps:txbx>
                      <w:txbxContent>
                        <w:p>
                          <w:pPr>
                            <w:rPr>
                              <w:sz w:val="20"/>
                              <w:szCs w:val="21"/>
                            </w:rPr>
                          </w:pPr>
                          <w:r>
                            <w:rPr>
                              <w:sz w:val="20"/>
                              <w:szCs w:val="21"/>
                            </w:rPr>
                            <w:fldChar w:fldCharType="begin"/>
                          </w:r>
                          <w:r>
                            <w:rPr>
                              <w:sz w:val="20"/>
                              <w:szCs w:val="21"/>
                            </w:rPr>
                            <w:instrText xml:space="preserve">PAGE  \* Arabic  \* MERGEFORMAT</w:instrText>
                          </w:r>
                          <w:r>
                            <w:rPr>
                              <w:sz w:val="20"/>
                              <w:szCs w:val="21"/>
                            </w:rPr>
                            <w:fldChar w:fldCharType="separate"/>
                          </w:r>
                          <w:r>
                            <w:rPr>
                              <w:sz w:val="20"/>
                              <w:szCs w:val="21"/>
                              <w:lang w:val="zh-CN"/>
                            </w:rPr>
                            <w:t>1</w:t>
                          </w:r>
                          <w:r>
                            <w:rPr>
                              <w:sz w:val="20"/>
                              <w:szCs w:val="21"/>
                            </w:rPr>
                            <w:fldChar w:fldCharType="end"/>
                          </w:r>
                          <w:r>
                            <w:rPr>
                              <w:sz w:val="20"/>
                              <w:szCs w:val="21"/>
                            </w:rPr>
                            <w:t xml:space="preserve"> </w:t>
                          </w:r>
                          <w:r>
                            <w:rPr>
                              <w:sz w:val="20"/>
                              <w:szCs w:val="21"/>
                              <w:lang w:val="zh-CN"/>
                            </w:rPr>
                            <w:t xml:space="preserve">/ </w:t>
                          </w:r>
                          <w:r>
                            <w:rPr>
                              <w:sz w:val="20"/>
                              <w:szCs w:val="21"/>
                            </w:rPr>
                            <w:fldChar w:fldCharType="begin"/>
                          </w:r>
                          <w:r>
                            <w:rPr>
                              <w:sz w:val="20"/>
                              <w:szCs w:val="21"/>
                            </w:rPr>
                            <w:instrText xml:space="preserve"> =</w:instrText>
                          </w:r>
                          <w:r>
                            <w:rPr>
                              <w:sz w:val="20"/>
                              <w:szCs w:val="21"/>
                            </w:rPr>
                            <w:fldChar w:fldCharType="begin"/>
                          </w:r>
                          <w:r>
                            <w:rPr>
                              <w:sz w:val="20"/>
                              <w:szCs w:val="21"/>
                            </w:rPr>
                            <w:instrText xml:space="preserve"> NUMPAGES </w:instrText>
                          </w:r>
                          <w:r>
                            <w:rPr>
                              <w:sz w:val="20"/>
                              <w:szCs w:val="21"/>
                            </w:rPr>
                            <w:fldChar w:fldCharType="separate"/>
                          </w:r>
                          <w:r>
                            <w:rPr>
                              <w:sz w:val="20"/>
                              <w:szCs w:val="21"/>
                            </w:rPr>
                            <w:instrText xml:space="preserve">45</w:instrText>
                          </w:r>
                          <w:r>
                            <w:rPr>
                              <w:sz w:val="20"/>
                              <w:szCs w:val="21"/>
                            </w:rPr>
                            <w:fldChar w:fldCharType="end"/>
                          </w:r>
                          <w:r>
                            <w:rPr>
                              <w:sz w:val="20"/>
                              <w:szCs w:val="21"/>
                            </w:rPr>
                            <w:instrText xml:space="preserve">-</w:instrText>
                          </w:r>
                          <w:r>
                            <w:rPr>
                              <w:rFonts w:hint="eastAsia"/>
                              <w:sz w:val="20"/>
                              <w:szCs w:val="21"/>
                            </w:rPr>
                            <w:instrText xml:space="preserve">2</w:instrText>
                          </w:r>
                          <w:r>
                            <w:rPr>
                              <w:sz w:val="20"/>
                              <w:szCs w:val="21"/>
                            </w:rPr>
                            <w:instrText xml:space="preserve"> </w:instrText>
                          </w:r>
                          <w:r>
                            <w:rPr>
                              <w:sz w:val="20"/>
                              <w:szCs w:val="21"/>
                            </w:rPr>
                            <w:fldChar w:fldCharType="separate"/>
                          </w:r>
                          <w:r>
                            <w:rPr>
                              <w:sz w:val="20"/>
                              <w:szCs w:val="21"/>
                            </w:rPr>
                            <w:t>61</w:t>
                          </w:r>
                          <w:r>
                            <w:rPr>
                              <w:sz w:val="20"/>
                              <w:szCs w:val="21"/>
                            </w:rPr>
                            <w:fldChar w:fldCharType="end"/>
                          </w:r>
                        </w:p>
                      </w:txbxContent>
                    </wps:txbx>
                    <wps:bodyPr rot="0" vert="horz" wrap="square" lIns="91440" tIns="45720" rIns="91440" bIns="45720" anchor="t" anchorCtr="0" upright="1">
                      <a:noAutofit/>
                    </wps:bodyPr>
                  </wps:wsp>
                </a:graphicData>
              </a:graphic>
            </wp:inline>
          </w:drawing>
        </mc:Choice>
        <mc:Fallback>
          <w:pict>
            <v:shape id="_x0000_s1026" o:spid="_x0000_s1026" o:spt="176" type="#_x0000_t176" style="height:34.75pt;width:55.2pt;" filled="f" stroked="f" coordsize="21600,21600" o:gfxdata="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EFqBBPVAAAABAEAAA8AAAAAAAAAAQAgAAAAIgAAAGRycy9kb3ducmV2Lnht&#10;bFBLAQIUABQAAAAIAIdO4kDagZquNQIAAC8EAAAOAAAAAAAAAAEAIAAAACQBAABkcnMvZTJvRG9j&#10;LnhtbFBLBQYAAAAABgAGAFkBAADLBQAAAAA=&#10;">
              <v:fill on="f" focussize="0,0"/>
              <v:stroke on="f"/>
              <v:imagedata o:title=""/>
              <o:lock v:ext="edit" aspectratio="f"/>
              <v:textbox>
                <w:txbxContent>
                  <w:p>
                    <w:pPr>
                      <w:rPr>
                        <w:sz w:val="20"/>
                        <w:szCs w:val="21"/>
                      </w:rPr>
                    </w:pPr>
                    <w:r>
                      <w:rPr>
                        <w:sz w:val="20"/>
                        <w:szCs w:val="21"/>
                      </w:rPr>
                      <w:fldChar w:fldCharType="begin"/>
                    </w:r>
                    <w:r>
                      <w:rPr>
                        <w:sz w:val="20"/>
                        <w:szCs w:val="21"/>
                      </w:rPr>
                      <w:instrText xml:space="preserve">PAGE  \* Arabic  \* MERGEFORMAT</w:instrText>
                    </w:r>
                    <w:r>
                      <w:rPr>
                        <w:sz w:val="20"/>
                        <w:szCs w:val="21"/>
                      </w:rPr>
                      <w:fldChar w:fldCharType="separate"/>
                    </w:r>
                    <w:r>
                      <w:rPr>
                        <w:sz w:val="20"/>
                        <w:szCs w:val="21"/>
                        <w:lang w:val="zh-CN"/>
                      </w:rPr>
                      <w:t>1</w:t>
                    </w:r>
                    <w:r>
                      <w:rPr>
                        <w:sz w:val="20"/>
                        <w:szCs w:val="21"/>
                      </w:rPr>
                      <w:fldChar w:fldCharType="end"/>
                    </w:r>
                    <w:r>
                      <w:rPr>
                        <w:sz w:val="20"/>
                        <w:szCs w:val="21"/>
                      </w:rPr>
                      <w:t xml:space="preserve"> </w:t>
                    </w:r>
                    <w:r>
                      <w:rPr>
                        <w:sz w:val="20"/>
                        <w:szCs w:val="21"/>
                        <w:lang w:val="zh-CN"/>
                      </w:rPr>
                      <w:t xml:space="preserve">/ </w:t>
                    </w:r>
                    <w:r>
                      <w:rPr>
                        <w:sz w:val="20"/>
                        <w:szCs w:val="21"/>
                      </w:rPr>
                      <w:fldChar w:fldCharType="begin"/>
                    </w:r>
                    <w:r>
                      <w:rPr>
                        <w:sz w:val="20"/>
                        <w:szCs w:val="21"/>
                      </w:rPr>
                      <w:instrText xml:space="preserve"> =</w:instrText>
                    </w:r>
                    <w:r>
                      <w:rPr>
                        <w:sz w:val="20"/>
                        <w:szCs w:val="21"/>
                      </w:rPr>
                      <w:fldChar w:fldCharType="begin"/>
                    </w:r>
                    <w:r>
                      <w:rPr>
                        <w:sz w:val="20"/>
                        <w:szCs w:val="21"/>
                      </w:rPr>
                      <w:instrText xml:space="preserve"> NUMPAGES </w:instrText>
                    </w:r>
                    <w:r>
                      <w:rPr>
                        <w:sz w:val="20"/>
                        <w:szCs w:val="21"/>
                      </w:rPr>
                      <w:fldChar w:fldCharType="separate"/>
                    </w:r>
                    <w:r>
                      <w:rPr>
                        <w:sz w:val="20"/>
                        <w:szCs w:val="21"/>
                      </w:rPr>
                      <w:instrText xml:space="preserve">45</w:instrText>
                    </w:r>
                    <w:r>
                      <w:rPr>
                        <w:sz w:val="20"/>
                        <w:szCs w:val="21"/>
                      </w:rPr>
                      <w:fldChar w:fldCharType="end"/>
                    </w:r>
                    <w:r>
                      <w:rPr>
                        <w:sz w:val="20"/>
                        <w:szCs w:val="21"/>
                      </w:rPr>
                      <w:instrText xml:space="preserve">-</w:instrText>
                    </w:r>
                    <w:r>
                      <w:rPr>
                        <w:rFonts w:hint="eastAsia"/>
                        <w:sz w:val="20"/>
                        <w:szCs w:val="21"/>
                      </w:rPr>
                      <w:instrText xml:space="preserve">2</w:instrText>
                    </w:r>
                    <w:r>
                      <w:rPr>
                        <w:sz w:val="20"/>
                        <w:szCs w:val="21"/>
                      </w:rPr>
                      <w:instrText xml:space="preserve"> </w:instrText>
                    </w:r>
                    <w:r>
                      <w:rPr>
                        <w:sz w:val="20"/>
                        <w:szCs w:val="21"/>
                      </w:rPr>
                      <w:fldChar w:fldCharType="separate"/>
                    </w:r>
                    <w:r>
                      <w:rPr>
                        <w:sz w:val="20"/>
                        <w:szCs w:val="21"/>
                      </w:rPr>
                      <w:t>61</w:t>
                    </w:r>
                    <w:r>
                      <w:rPr>
                        <w:sz w:val="20"/>
                        <w:szCs w:val="21"/>
                      </w:rPr>
                      <w:fldChar w:fldCharType="end"/>
                    </w:r>
                  </w:p>
                </w:txbxContent>
              </v:textbox>
              <w10:wrap type="none"/>
              <w10:anchorlock/>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21"/>
      <w:tblW w:w="4394" w:type="dxa"/>
      <w:jc w:val="right"/>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844"/>
      <w:gridCol w:w="255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jc w:val="right"/>
      </w:trPr>
      <w:tc>
        <w:tcPr>
          <w:tcW w:w="1844" w:type="dxa"/>
        </w:tcPr>
        <w:p>
          <w:pPr>
            <w:pStyle w:val="12"/>
            <w:pBdr>
              <w:bottom w:val="none" w:color="auto" w:sz="0" w:space="0"/>
            </w:pBdr>
            <w:spacing w:line="288" w:lineRule="auto"/>
            <w:jc w:val="left"/>
            <w:rPr>
              <w:color w:val="808080" w:themeColor="text1" w:themeTint="80"/>
              <w:sz w:val="21"/>
              <w:szCs w:val="21"/>
              <w14:textFill>
                <w14:solidFill>
                  <w14:schemeClr w14:val="tx1">
                    <w14:lumMod w14:val="50000"/>
                    <w14:lumOff w14:val="50000"/>
                  </w14:schemeClr>
                </w14:solidFill>
              </w14:textFill>
            </w:rPr>
          </w:pPr>
          <w:r>
            <w:rPr>
              <w:color w:val="808080" w:themeColor="text1" w:themeTint="80"/>
              <w:sz w:val="21"/>
              <w:szCs w:val="21"/>
              <w14:textFill>
                <w14:solidFill>
                  <w14:schemeClr w14:val="tx1">
                    <w14:lumMod w14:val="50000"/>
                    <w14:lumOff w14:val="50000"/>
                  </w14:schemeClr>
                </w14:solidFill>
              </w14:textFill>
            </w:rPr>
            <w:t>患者姓名</w:t>
          </w:r>
          <w:r>
            <w:rPr>
              <w:rFonts w:hint="eastAsia"/>
              <w:color w:val="808080" w:themeColor="text1" w:themeTint="80"/>
              <w:sz w:val="21"/>
              <w:szCs w:val="21"/>
              <w14:textFill>
                <w14:solidFill>
                  <w14:schemeClr w14:val="tx1">
                    <w14:lumMod w14:val="50000"/>
                    <w14:lumOff w14:val="50000"/>
                  </w14:schemeClr>
                </w14:solidFill>
              </w14:textFill>
            </w:rPr>
            <w:t>：</w:t>
          </w:r>
        </w:p>
        <w:p>
          <w:pPr>
            <w:pStyle w:val="12"/>
            <w:pBdr>
              <w:bottom w:val="none" w:color="auto" w:sz="0" w:space="0"/>
            </w:pBdr>
            <w:spacing w:line="288" w:lineRule="auto"/>
            <w:jc w:val="left"/>
            <w:rPr>
              <w:sz w:val="21"/>
              <w:szCs w:val="21"/>
            </w:rPr>
          </w:pPr>
        </w:p>
      </w:tc>
      <w:tc>
        <w:tcPr>
          <w:tcW w:w="2550" w:type="dxa"/>
        </w:tcPr>
        <w:p>
          <w:pPr>
            <w:pStyle w:val="12"/>
            <w:pBdr>
              <w:bottom w:val="none" w:color="auto" w:sz="0" w:space="0"/>
            </w:pBdr>
            <w:spacing w:line="307" w:lineRule="auto"/>
            <w:jc w:val="left"/>
            <w:rPr>
              <w:color w:val="808080" w:themeColor="text1" w:themeTint="80"/>
              <w:sz w:val="21"/>
              <w:szCs w:val="21"/>
              <w14:textFill>
                <w14:solidFill>
                  <w14:schemeClr w14:val="tx1">
                    <w14:lumMod w14:val="50000"/>
                    <w14:lumOff w14:val="50000"/>
                  </w14:schemeClr>
                </w14:solidFill>
              </w14:textFill>
            </w:rPr>
          </w:pPr>
          <w:r>
            <w:rPr>
              <w:color w:val="808080" w:themeColor="text1" w:themeTint="80"/>
              <w:sz w:val="21"/>
              <w:szCs w:val="21"/>
              <w14:textFill>
                <w14:solidFill>
                  <w14:schemeClr w14:val="tx1">
                    <w14:lumMod w14:val="50000"/>
                    <w14:lumOff w14:val="50000"/>
                  </w14:schemeClr>
                </w14:solidFill>
              </w14:textFill>
            </w:rPr>
            <w:t>样本编号</w:t>
          </w:r>
          <w:r>
            <w:rPr>
              <w:rFonts w:hint="eastAsia"/>
              <w:color w:val="808080" w:themeColor="text1" w:themeTint="80"/>
              <w:sz w:val="21"/>
              <w:szCs w:val="21"/>
              <w14:textFill>
                <w14:solidFill>
                  <w14:schemeClr w14:val="tx1">
                    <w14:lumMod w14:val="50000"/>
                    <w14:lumOff w14:val="50000"/>
                  </w14:schemeClr>
                </w14:solidFill>
              </w14:textFill>
            </w:rPr>
            <w:t>：</w:t>
          </w:r>
        </w:p>
        <w:p>
          <w:pPr>
            <w:pStyle w:val="12"/>
            <w:pBdr>
              <w:bottom w:val="none" w:color="auto" w:sz="0" w:space="0"/>
            </w:pBdr>
            <w:spacing w:line="307" w:lineRule="auto"/>
            <w:jc w:val="left"/>
            <w:rPr>
              <w:color w:val="808080" w:themeColor="text1" w:themeTint="80"/>
              <w:sz w:val="21"/>
              <w:szCs w:val="21"/>
              <w14:textFill>
                <w14:solidFill>
                  <w14:schemeClr w14:val="tx1">
                    <w14:lumMod w14:val="50000"/>
                    <w14:lumOff w14:val="50000"/>
                  </w14:schemeClr>
                </w14:solidFill>
              </w14:textFill>
            </w:rPr>
          </w:pPr>
        </w:p>
      </w:tc>
    </w:tr>
  </w:tbl>
  <w:p>
    <w:pPr>
      <w:pStyle w:val="12"/>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21"/>
      <w:tblW w:w="4112" w:type="dxa"/>
      <w:jc w:val="right"/>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844"/>
      <w:gridCol w:w="226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8" w:hRule="atLeast"/>
        <w:jc w:val="right"/>
      </w:trPr>
      <w:tc>
        <w:tcPr>
          <w:tcW w:w="1844" w:type="dxa"/>
        </w:tcPr>
        <w:p>
          <w:pPr>
            <w:rPr>
              <w:rFonts w:hAnsi="等线"/>
              <w:sz w:val="20"/>
              <w:szCs w:val="21"/>
            </w:rPr>
          </w:pPr>
          <w:r>
            <w:rPr>
              <w:rFonts w:hint="eastAsia" w:hAnsi="等线"/>
              <w:sz w:val="20"/>
              <w:szCs w:val="21"/>
            </w:rPr>
            <w:t>患者姓名：</w:t>
          </w:r>
        </w:p>
        <w:p>
          <w:pPr>
            <w:spacing w:before="36" w:beforeLines="15"/>
            <w:rPr>
              <w:rFonts w:hint="eastAsia" w:hAnsi="等线" w:eastAsia="等线"/>
              <w:sz w:val="20"/>
              <w:szCs w:val="21"/>
              <w:lang w:eastAsia="zh-CN"/>
            </w:rPr>
          </w:pPr>
          <w:r>
            <w:rPr>
              <w:rFonts w:hint="eastAsia" w:hAnsi="等线" w:cs="Arial"/>
              <w:color w:val="000000"/>
              <w:sz w:val="20"/>
              <w:szCs w:val="20"/>
              <w:lang w:eastAsia="zh-CN"/>
            </w:rPr>
            <w:t xml:space="preserve">刘杰</w:t>
          </w:r>
        </w:p>
      </w:tc>
      <w:tc>
        <w:tcPr>
          <w:tcW w:w="2268" w:type="dxa"/>
        </w:tcPr>
        <w:p>
          <w:pPr>
            <w:rPr>
              <w:rFonts w:hAnsi="等线"/>
              <w:sz w:val="20"/>
              <w:szCs w:val="21"/>
            </w:rPr>
          </w:pPr>
          <w:r>
            <w:rPr>
              <w:rFonts w:hint="eastAsia" w:hAnsi="等线"/>
              <w:sz w:val="20"/>
              <w:szCs w:val="21"/>
            </w:rPr>
            <w:t>样本编号：</w:t>
          </w:r>
        </w:p>
        <w:p>
          <w:pPr>
            <w:spacing w:before="36" w:beforeLines="15"/>
            <w:rPr>
              <w:rFonts w:hint="eastAsia" w:hAnsi="等线" w:eastAsia="等线"/>
              <w:sz w:val="20"/>
              <w:szCs w:val="21"/>
              <w:lang w:eastAsia="zh-CN"/>
            </w:rPr>
          </w:pPr>
          <w:r>
            <w:rPr>
              <w:rFonts w:hint="eastAsia" w:hAnsi="等线" w:cs="Arial"/>
              <w:color w:val="000000"/>
              <w:sz w:val="20"/>
              <w:szCs w:val="20"/>
              <w:lang w:eastAsia="zh-CN" w:bidi="ar"/>
            </w:rPr>
            <w:t xml:space="preserve"/>
          </w:r>
        </w:p>
      </w:tc>
    </w:tr>
  </w:tbl>
  <w:p>
    <w:pPr>
      <w:pStyle w:val="12"/>
      <w:pBdr>
        <w:bottom w:val="none" w:color="auto" w:sz="0" w:space="0"/>
      </w:pBdr>
      <w:jc w:val="both"/>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21"/>
      <w:tblW w:w="4112" w:type="dxa"/>
      <w:jc w:val="right"/>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844"/>
      <w:gridCol w:w="226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8" w:hRule="atLeast"/>
        <w:jc w:val="right"/>
      </w:trPr>
      <w:tc>
        <w:tcPr>
          <w:tcW w:w="1844" w:type="dxa"/>
        </w:tcPr>
        <w:p>
          <w:pPr>
            <w:rPr>
              <w:rFonts w:hAnsi="等线"/>
              <w:sz w:val="20"/>
              <w:szCs w:val="21"/>
            </w:rPr>
          </w:pPr>
          <w:r>
            <w:rPr>
              <w:rFonts w:hint="eastAsia" w:hAnsi="等线"/>
              <w:sz w:val="20"/>
              <w:szCs w:val="21"/>
            </w:rPr>
            <w:t>患者姓名：</w:t>
          </w:r>
        </w:p>
        <w:p>
          <w:pPr>
            <w:spacing w:before="36" w:beforeLines="15"/>
            <w:rPr>
              <w:rFonts w:hint="eastAsia" w:hAnsi="等线" w:eastAsia="等线"/>
              <w:sz w:val="20"/>
              <w:szCs w:val="21"/>
              <w:lang w:eastAsia="zh-CN"/>
            </w:rPr>
          </w:pPr>
          <w:r>
            <w:rPr>
              <w:rFonts w:hint="eastAsia" w:hAnsi="等线" w:cs="Arial"/>
              <w:color w:val="000000"/>
              <w:sz w:val="20"/>
              <w:szCs w:val="20"/>
              <w:lang w:eastAsia="zh-CN"/>
            </w:rPr>
            <w:t xml:space="preserve">刘杰</w:t>
          </w:r>
        </w:p>
      </w:tc>
      <w:tc>
        <w:tcPr>
          <w:tcW w:w="2268" w:type="dxa"/>
        </w:tcPr>
        <w:p>
          <w:pPr>
            <w:rPr>
              <w:rFonts w:hAnsi="等线"/>
              <w:sz w:val="20"/>
              <w:szCs w:val="21"/>
            </w:rPr>
          </w:pPr>
          <w:r>
            <w:rPr>
              <w:rFonts w:hint="eastAsia" w:hAnsi="等线"/>
              <w:sz w:val="20"/>
              <w:szCs w:val="21"/>
            </w:rPr>
            <w:t>样本编号：</w:t>
          </w:r>
        </w:p>
        <w:p>
          <w:pPr>
            <w:spacing w:before="36" w:beforeLines="15"/>
            <w:rPr>
              <w:rFonts w:hint="eastAsia" w:hAnsi="等线" w:eastAsia="等线"/>
              <w:sz w:val="20"/>
              <w:szCs w:val="21"/>
              <w:lang w:eastAsia="zh-CN"/>
            </w:rPr>
          </w:pPr>
          <w:r>
            <w:rPr>
              <w:rFonts w:hint="eastAsia" w:hAnsi="等线" w:cs="Arial"/>
              <w:color w:val="000000"/>
              <w:sz w:val="20"/>
              <w:szCs w:val="20"/>
              <w:lang w:eastAsia="zh-CN" w:bidi="ar"/>
            </w:rPr>
            <w:t xml:space="preserve">2023WSSW000709-T</w:t>
          </w:r>
        </w:p>
      </w:tc>
    </w:tr>
  </w:tbl>
  <w:p>
    <w:pPr>
      <w:pStyle w:val="12"/>
      <w:pBdr>
        <w:bottom w:val="none" w:color="auto" w:sz="0" w:space="0"/>
      </w:pBdr>
      <w:jc w:val="both"/>
    </w:pPr>
  </w:p>
  <w:p>
    <w:pPr>
      <w:pStyle w:val="12"/>
      <w:pBdr>
        <w:bottom w:val="none" w:color="auto" w:sz="0" w:space="0"/>
      </w:pBdr>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8F7888"/>
    <w:multiLevelType w:val="singleLevel"/>
    <w:tmpl w:val="818F7888"/>
    <w:lvl w:ilvl="0" w:tentative="0">
      <w:start w:val="1"/>
      <w:numFmt w:val="decimal"/>
      <w:suff w:val="space"/>
      <w:lvlText w:val="%1."/>
      <w:lvlJc w:val="left"/>
      <w:rPr>
        <w:rFonts w:hint="default" w:ascii="等线" w:hAnsi="等线" w:eastAsia="等线" w:cs="等线"/>
        <w:sz w:val="18"/>
        <w:szCs w:val="18"/>
      </w:rPr>
    </w:lvl>
  </w:abstractNum>
  <w:abstractNum w:abstractNumId="1">
    <w:nsid w:val="868F4430"/>
    <w:multiLevelType w:val="singleLevel"/>
    <w:tmpl w:val="868F4430"/>
    <w:lvl w:ilvl="0" w:tentative="0">
      <w:start w:val="1"/>
      <w:numFmt w:val="decimal"/>
      <w:suff w:val="space"/>
      <w:lvlText w:val="%1."/>
      <w:lvlJc w:val="left"/>
      <w:rPr>
        <w:rFonts w:hint="default" w:ascii="等线" w:hAnsi="等线" w:eastAsia="等线" w:cs="等线"/>
        <w:sz w:val="18"/>
        <w:szCs w:val="18"/>
      </w:rPr>
    </w:lvl>
  </w:abstractNum>
  <w:abstractNum w:abstractNumId="2">
    <w:nsid w:val="AD8D18BD"/>
    <w:multiLevelType w:val="singleLevel"/>
    <w:tmpl w:val="AD8D18BD"/>
    <w:lvl w:ilvl="0" w:tentative="0">
      <w:start w:val="1"/>
      <w:numFmt w:val="decimal"/>
      <w:suff w:val="space"/>
      <w:lvlText w:val="%1."/>
      <w:lvlJc w:val="left"/>
      <w:rPr>
        <w:rFonts w:hint="default" w:ascii="等线" w:hAnsi="等线" w:eastAsia="等线" w:cs="等线"/>
        <w:sz w:val="18"/>
        <w:szCs w:val="18"/>
      </w:rPr>
    </w:lvl>
  </w:abstractNum>
  <w:abstractNum w:abstractNumId="3">
    <w:nsid w:val="D16E3DCC"/>
    <w:multiLevelType w:val="singleLevel"/>
    <w:tmpl w:val="D16E3DCC"/>
    <w:lvl w:ilvl="0" w:tentative="0">
      <w:start w:val="1"/>
      <w:numFmt w:val="bullet"/>
      <w:lvlText w:val=""/>
      <w:lvlJc w:val="left"/>
      <w:pPr>
        <w:ind w:left="420" w:hanging="420"/>
      </w:pPr>
      <w:rPr>
        <w:rFonts w:hint="default" w:ascii="Wingdings" w:hAnsi="Wingdings"/>
      </w:rPr>
    </w:lvl>
  </w:abstractNum>
  <w:abstractNum w:abstractNumId="4">
    <w:nsid w:val="D3983D51"/>
    <w:multiLevelType w:val="singleLevel"/>
    <w:tmpl w:val="D3983D51"/>
    <w:lvl w:ilvl="0" w:tentative="0">
      <w:start w:val="1"/>
      <w:numFmt w:val="decimal"/>
      <w:suff w:val="space"/>
      <w:lvlText w:val="%1."/>
      <w:lvlJc w:val="left"/>
      <w:rPr>
        <w:rFonts w:hint="default" w:ascii="等线" w:hAnsi="等线" w:eastAsia="等线" w:cs="等线"/>
        <w:sz w:val="18"/>
        <w:szCs w:val="18"/>
      </w:rPr>
    </w:lvl>
  </w:abstractNum>
  <w:abstractNum w:abstractNumId="5">
    <w:nsid w:val="F168AFCE"/>
    <w:multiLevelType w:val="singleLevel"/>
    <w:tmpl w:val="F168AFCE"/>
    <w:lvl w:ilvl="0" w:tentative="0">
      <w:start w:val="1"/>
      <w:numFmt w:val="decimal"/>
      <w:suff w:val="space"/>
      <w:lvlText w:val="%1."/>
      <w:lvlJc w:val="left"/>
      <w:rPr>
        <w:rFonts w:hint="default" w:ascii="等线" w:hAnsi="等线" w:eastAsia="等线" w:cs="等线"/>
        <w:sz w:val="18"/>
        <w:szCs w:val="18"/>
      </w:rPr>
    </w:lvl>
  </w:abstractNum>
  <w:abstractNum w:abstractNumId="6">
    <w:nsid w:val="02191C48"/>
    <w:multiLevelType w:val="multilevel"/>
    <w:tmpl w:val="02191C48"/>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23F80CBA"/>
    <w:multiLevelType w:val="multilevel"/>
    <w:tmpl w:val="23F80CBA"/>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42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8">
    <w:nsid w:val="26759399"/>
    <w:multiLevelType w:val="singleLevel"/>
    <w:tmpl w:val="26759399"/>
    <w:lvl w:ilvl="0" w:tentative="0">
      <w:start w:val="1"/>
      <w:numFmt w:val="decimal"/>
      <w:suff w:val="space"/>
      <w:lvlText w:val="%1."/>
      <w:lvlJc w:val="left"/>
      <w:rPr>
        <w:rFonts w:hint="default" w:ascii="等线" w:hAnsi="等线" w:eastAsia="等线" w:cs="等线"/>
        <w:sz w:val="18"/>
        <w:szCs w:val="18"/>
      </w:rPr>
    </w:lvl>
  </w:abstractNum>
  <w:abstractNum w:abstractNumId="9">
    <w:nsid w:val="31308012"/>
    <w:multiLevelType w:val="singleLevel"/>
    <w:tmpl w:val="31308012"/>
    <w:lvl w:ilvl="0" w:tentative="0">
      <w:start w:val="1"/>
      <w:numFmt w:val="bullet"/>
      <w:lvlText w:val=""/>
      <w:lvlJc w:val="left"/>
      <w:pPr>
        <w:ind w:left="420" w:hanging="420"/>
      </w:pPr>
      <w:rPr>
        <w:rFonts w:hint="default" w:ascii="Wingdings" w:hAnsi="Wingdings"/>
      </w:rPr>
    </w:lvl>
  </w:abstractNum>
  <w:abstractNum w:abstractNumId="10">
    <w:nsid w:val="33673E24"/>
    <w:multiLevelType w:val="multilevel"/>
    <w:tmpl w:val="33673E24"/>
    <w:lvl w:ilvl="0" w:tentative="0">
      <w:start w:val="1"/>
      <w:numFmt w:val="bullet"/>
      <w:lvlText w:val=""/>
      <w:lvlJc w:val="left"/>
      <w:pPr>
        <w:ind w:left="420" w:hanging="420"/>
      </w:pPr>
      <w:rPr>
        <w:rFonts w:hint="default" w:ascii="Wingdings" w:hAnsi="Wingding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
    <w:nsid w:val="42AF9497"/>
    <w:multiLevelType w:val="singleLevel"/>
    <w:tmpl w:val="42AF9497"/>
    <w:lvl w:ilvl="0" w:tentative="0">
      <w:start w:val="1"/>
      <w:numFmt w:val="decimal"/>
      <w:suff w:val="space"/>
      <w:lvlText w:val="%1."/>
      <w:lvlJc w:val="left"/>
      <w:rPr>
        <w:rFonts w:hint="default" w:ascii="等线" w:hAnsi="等线" w:eastAsia="等线" w:cs="等线"/>
        <w:sz w:val="18"/>
        <w:szCs w:val="18"/>
      </w:rPr>
    </w:lvl>
  </w:abstractNum>
  <w:abstractNum w:abstractNumId="12">
    <w:nsid w:val="472D3A74"/>
    <w:multiLevelType w:val="multilevel"/>
    <w:tmpl w:val="472D3A74"/>
    <w:lvl w:ilvl="0" w:tentative="0">
      <w:start w:val="1"/>
      <w:numFmt w:val="bullet"/>
      <w:lvlText w:val=""/>
      <w:lvlJc w:val="left"/>
      <w:pPr>
        <w:ind w:left="420" w:hanging="420"/>
      </w:pPr>
      <w:rPr>
        <w:rFonts w:hint="default" w:ascii="Wingdings" w:hAnsi="Wingding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
    <w:nsid w:val="485BEF98"/>
    <w:multiLevelType w:val="singleLevel"/>
    <w:tmpl w:val="485BEF98"/>
    <w:lvl w:ilvl="0" w:tentative="0">
      <w:start w:val="1"/>
      <w:numFmt w:val="bullet"/>
      <w:lvlText w:val=""/>
      <w:lvlJc w:val="left"/>
      <w:pPr>
        <w:ind w:left="420" w:hanging="420"/>
      </w:pPr>
      <w:rPr>
        <w:rFonts w:hint="default" w:ascii="Wingdings" w:hAnsi="Wingdings"/>
      </w:rPr>
    </w:lvl>
  </w:abstractNum>
  <w:abstractNum w:abstractNumId="14">
    <w:nsid w:val="4AF01FE6"/>
    <w:multiLevelType w:val="singleLevel"/>
    <w:tmpl w:val="4AF01FE6"/>
    <w:lvl w:ilvl="0" w:tentative="0">
      <w:start w:val="1"/>
      <w:numFmt w:val="decimal"/>
      <w:suff w:val="space"/>
      <w:lvlText w:val="%1."/>
      <w:lvlJc w:val="left"/>
      <w:rPr>
        <w:rFonts w:hint="default" w:ascii="等线" w:hAnsi="等线" w:eastAsia="等线" w:cs="等线"/>
        <w:sz w:val="18"/>
        <w:szCs w:val="18"/>
      </w:rPr>
    </w:lvl>
  </w:abstractNum>
  <w:abstractNum w:abstractNumId="15">
    <w:nsid w:val="4C5E7901"/>
    <w:multiLevelType w:val="multilevel"/>
    <w:tmpl w:val="4C5E7901"/>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6">
    <w:nsid w:val="4FA48107"/>
    <w:multiLevelType w:val="singleLevel"/>
    <w:tmpl w:val="4FA48107"/>
    <w:lvl w:ilvl="0" w:tentative="0">
      <w:start w:val="1"/>
      <w:numFmt w:val="decimal"/>
      <w:suff w:val="space"/>
      <w:lvlText w:val="%1."/>
      <w:lvlJc w:val="left"/>
      <w:rPr>
        <w:rFonts w:hint="default" w:ascii="等线" w:hAnsi="等线" w:eastAsia="等线" w:cs="等线"/>
        <w:sz w:val="18"/>
        <w:szCs w:val="18"/>
      </w:rPr>
    </w:lvl>
  </w:abstractNum>
  <w:abstractNum w:abstractNumId="17">
    <w:nsid w:val="5869BC02"/>
    <w:multiLevelType w:val="singleLevel"/>
    <w:tmpl w:val="5869BC02"/>
    <w:lvl w:ilvl="0" w:tentative="0">
      <w:start w:val="1"/>
      <w:numFmt w:val="decimal"/>
      <w:suff w:val="space"/>
      <w:lvlText w:val="%1."/>
      <w:lvlJc w:val="left"/>
      <w:rPr>
        <w:rFonts w:hint="default" w:ascii="等线" w:hAnsi="等线" w:eastAsia="等线" w:cs="等线"/>
        <w:sz w:val="18"/>
        <w:szCs w:val="18"/>
      </w:rPr>
    </w:lvl>
  </w:abstractNum>
  <w:abstractNum w:abstractNumId="18">
    <w:nsid w:val="5E815578"/>
    <w:multiLevelType w:val="multilevel"/>
    <w:tmpl w:val="5E815578"/>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9">
    <w:nsid w:val="79CFEA29"/>
    <w:multiLevelType w:val="singleLevel"/>
    <w:tmpl w:val="79CFEA29"/>
    <w:lvl w:ilvl="0" w:tentative="0">
      <w:start w:val="1"/>
      <w:numFmt w:val="decimal"/>
      <w:suff w:val="space"/>
      <w:lvlText w:val="%1."/>
      <w:lvlJc w:val="left"/>
      <w:rPr>
        <w:rFonts w:hint="default" w:ascii="等线" w:hAnsi="等线" w:eastAsia="等线" w:cs="等线"/>
        <w:sz w:val="18"/>
        <w:szCs w:val="18"/>
      </w:rPr>
    </w:lvl>
  </w:abstractNum>
  <w:num w:numId="1">
    <w:abstractNumId w:val="3"/>
  </w:num>
  <w:num w:numId="2">
    <w:abstractNumId w:val="9"/>
  </w:num>
  <w:num w:numId="3">
    <w:abstractNumId w:val="7"/>
  </w:num>
  <w:num w:numId="4">
    <w:abstractNumId w:val="10"/>
  </w:num>
  <w:num w:numId="5">
    <w:abstractNumId w:val="15"/>
  </w:num>
  <w:num w:numId="6">
    <w:abstractNumId w:val="12"/>
  </w:num>
  <w:num w:numId="7">
    <w:abstractNumId w:val="13"/>
  </w:num>
  <w:num w:numId="8">
    <w:abstractNumId w:val="18"/>
  </w:num>
  <w:num w:numId="9">
    <w:abstractNumId w:val="2"/>
  </w:num>
  <w:num w:numId="10">
    <w:abstractNumId w:val="14"/>
  </w:num>
  <w:num w:numId="11">
    <w:abstractNumId w:val="16"/>
  </w:num>
  <w:num w:numId="12">
    <w:abstractNumId w:val="17"/>
  </w:num>
  <w:num w:numId="13">
    <w:abstractNumId w:val="19"/>
  </w:num>
  <w:num w:numId="14">
    <w:abstractNumId w:val="11"/>
  </w:num>
  <w:num w:numId="15">
    <w:abstractNumId w:val="4"/>
  </w:num>
  <w:num w:numId="16">
    <w:abstractNumId w:val="8"/>
  </w:num>
  <w:num w:numId="17">
    <w:abstractNumId w:val="0"/>
  </w:num>
  <w:num w:numId="18">
    <w:abstractNumId w:val="1"/>
  </w:num>
  <w:num w:numId="19">
    <w:abstractNumId w:val="5"/>
  </w:num>
  <w:num w:numId="2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isplayBackgroundShape w:val="1"/>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ZjMGM0ZTg3MWI0MDY0Mjk2YTk0ODZmOGVlMDdkMmYifQ=="/>
  </w:docVars>
  <w:rsids>
    <w:rsidRoot w:val="00172A27"/>
    <w:rsid w:val="00001A34"/>
    <w:rsid w:val="00002B70"/>
    <w:rsid w:val="00004176"/>
    <w:rsid w:val="0000419F"/>
    <w:rsid w:val="00006324"/>
    <w:rsid w:val="00006EA3"/>
    <w:rsid w:val="00007CC7"/>
    <w:rsid w:val="000100BB"/>
    <w:rsid w:val="00011182"/>
    <w:rsid w:val="00012EE2"/>
    <w:rsid w:val="000134AF"/>
    <w:rsid w:val="0001510A"/>
    <w:rsid w:val="000205B9"/>
    <w:rsid w:val="000210B8"/>
    <w:rsid w:val="0002174F"/>
    <w:rsid w:val="00023DE0"/>
    <w:rsid w:val="0002422C"/>
    <w:rsid w:val="00025112"/>
    <w:rsid w:val="0002589E"/>
    <w:rsid w:val="00027985"/>
    <w:rsid w:val="00032396"/>
    <w:rsid w:val="0003346F"/>
    <w:rsid w:val="00033B4A"/>
    <w:rsid w:val="000346E3"/>
    <w:rsid w:val="0003607C"/>
    <w:rsid w:val="00040729"/>
    <w:rsid w:val="00042719"/>
    <w:rsid w:val="00042F9C"/>
    <w:rsid w:val="000465FD"/>
    <w:rsid w:val="00047B95"/>
    <w:rsid w:val="00050878"/>
    <w:rsid w:val="0005248B"/>
    <w:rsid w:val="00052D30"/>
    <w:rsid w:val="00054A0E"/>
    <w:rsid w:val="00054CDF"/>
    <w:rsid w:val="00054F49"/>
    <w:rsid w:val="0006001C"/>
    <w:rsid w:val="0006090D"/>
    <w:rsid w:val="00063665"/>
    <w:rsid w:val="000651B6"/>
    <w:rsid w:val="00066829"/>
    <w:rsid w:val="00066BB4"/>
    <w:rsid w:val="00067E43"/>
    <w:rsid w:val="000720A6"/>
    <w:rsid w:val="000729EA"/>
    <w:rsid w:val="00073D68"/>
    <w:rsid w:val="000748DB"/>
    <w:rsid w:val="00075379"/>
    <w:rsid w:val="00076886"/>
    <w:rsid w:val="00076CB7"/>
    <w:rsid w:val="000771FA"/>
    <w:rsid w:val="0007789A"/>
    <w:rsid w:val="000802F3"/>
    <w:rsid w:val="00080A9B"/>
    <w:rsid w:val="00081816"/>
    <w:rsid w:val="00081BE6"/>
    <w:rsid w:val="00081F2C"/>
    <w:rsid w:val="00081F73"/>
    <w:rsid w:val="0008388A"/>
    <w:rsid w:val="000838A7"/>
    <w:rsid w:val="00083B6B"/>
    <w:rsid w:val="00084269"/>
    <w:rsid w:val="00090B31"/>
    <w:rsid w:val="00092F8C"/>
    <w:rsid w:val="00096BAF"/>
    <w:rsid w:val="0009724E"/>
    <w:rsid w:val="00097372"/>
    <w:rsid w:val="000A283E"/>
    <w:rsid w:val="000B03FD"/>
    <w:rsid w:val="000B18E2"/>
    <w:rsid w:val="000B2801"/>
    <w:rsid w:val="000B3450"/>
    <w:rsid w:val="000B5811"/>
    <w:rsid w:val="000C147D"/>
    <w:rsid w:val="000C1BF7"/>
    <w:rsid w:val="000C1C28"/>
    <w:rsid w:val="000C2156"/>
    <w:rsid w:val="000C2CEC"/>
    <w:rsid w:val="000C3173"/>
    <w:rsid w:val="000C353D"/>
    <w:rsid w:val="000C59A3"/>
    <w:rsid w:val="000C6CB9"/>
    <w:rsid w:val="000C73CC"/>
    <w:rsid w:val="000C7F21"/>
    <w:rsid w:val="000D26BC"/>
    <w:rsid w:val="000D28F1"/>
    <w:rsid w:val="000D529A"/>
    <w:rsid w:val="000D5BB9"/>
    <w:rsid w:val="000D6E0F"/>
    <w:rsid w:val="000E12F6"/>
    <w:rsid w:val="000E36B9"/>
    <w:rsid w:val="000E4639"/>
    <w:rsid w:val="000E4F1D"/>
    <w:rsid w:val="000E5E30"/>
    <w:rsid w:val="000E67AC"/>
    <w:rsid w:val="000E7BD3"/>
    <w:rsid w:val="000F0FFD"/>
    <w:rsid w:val="000F1C52"/>
    <w:rsid w:val="000F7D89"/>
    <w:rsid w:val="000F7E4D"/>
    <w:rsid w:val="0010497B"/>
    <w:rsid w:val="00104DC9"/>
    <w:rsid w:val="00105AEF"/>
    <w:rsid w:val="00105B0F"/>
    <w:rsid w:val="00106B72"/>
    <w:rsid w:val="0011007A"/>
    <w:rsid w:val="00110BA8"/>
    <w:rsid w:val="0011100F"/>
    <w:rsid w:val="00111E17"/>
    <w:rsid w:val="001125BE"/>
    <w:rsid w:val="00113EF9"/>
    <w:rsid w:val="001147EA"/>
    <w:rsid w:val="00115277"/>
    <w:rsid w:val="001160CC"/>
    <w:rsid w:val="00121120"/>
    <w:rsid w:val="00121EE2"/>
    <w:rsid w:val="00121F99"/>
    <w:rsid w:val="001220EE"/>
    <w:rsid w:val="00122FBB"/>
    <w:rsid w:val="00124B24"/>
    <w:rsid w:val="00125A38"/>
    <w:rsid w:val="00126C3D"/>
    <w:rsid w:val="0012715D"/>
    <w:rsid w:val="00130B0C"/>
    <w:rsid w:val="00130FBF"/>
    <w:rsid w:val="00132326"/>
    <w:rsid w:val="00132917"/>
    <w:rsid w:val="001342DF"/>
    <w:rsid w:val="00134826"/>
    <w:rsid w:val="001353AD"/>
    <w:rsid w:val="0013571A"/>
    <w:rsid w:val="0013611F"/>
    <w:rsid w:val="00136231"/>
    <w:rsid w:val="00136D62"/>
    <w:rsid w:val="0013763A"/>
    <w:rsid w:val="00137FC0"/>
    <w:rsid w:val="00142568"/>
    <w:rsid w:val="00142B90"/>
    <w:rsid w:val="001437A4"/>
    <w:rsid w:val="00143E98"/>
    <w:rsid w:val="00144E83"/>
    <w:rsid w:val="00145578"/>
    <w:rsid w:val="0014786F"/>
    <w:rsid w:val="001507EE"/>
    <w:rsid w:val="00150CBB"/>
    <w:rsid w:val="001525B1"/>
    <w:rsid w:val="00153818"/>
    <w:rsid w:val="001542F3"/>
    <w:rsid w:val="0015465A"/>
    <w:rsid w:val="001555E2"/>
    <w:rsid w:val="00155E0F"/>
    <w:rsid w:val="00156424"/>
    <w:rsid w:val="0015659F"/>
    <w:rsid w:val="00156B58"/>
    <w:rsid w:val="00160714"/>
    <w:rsid w:val="00161046"/>
    <w:rsid w:val="00162F6D"/>
    <w:rsid w:val="001638FB"/>
    <w:rsid w:val="00164132"/>
    <w:rsid w:val="001652D8"/>
    <w:rsid w:val="001667B5"/>
    <w:rsid w:val="001709C8"/>
    <w:rsid w:val="00172A27"/>
    <w:rsid w:val="00172D34"/>
    <w:rsid w:val="0017343A"/>
    <w:rsid w:val="00173721"/>
    <w:rsid w:val="001745F6"/>
    <w:rsid w:val="00175F1A"/>
    <w:rsid w:val="00177BB4"/>
    <w:rsid w:val="00181351"/>
    <w:rsid w:val="0018733E"/>
    <w:rsid w:val="001873A3"/>
    <w:rsid w:val="001912C8"/>
    <w:rsid w:val="00194254"/>
    <w:rsid w:val="0019729C"/>
    <w:rsid w:val="001A498C"/>
    <w:rsid w:val="001A5D6C"/>
    <w:rsid w:val="001A6174"/>
    <w:rsid w:val="001A672E"/>
    <w:rsid w:val="001B1877"/>
    <w:rsid w:val="001B2175"/>
    <w:rsid w:val="001B257F"/>
    <w:rsid w:val="001B260C"/>
    <w:rsid w:val="001B589F"/>
    <w:rsid w:val="001B5A0D"/>
    <w:rsid w:val="001B6D8A"/>
    <w:rsid w:val="001B77BB"/>
    <w:rsid w:val="001B7FE3"/>
    <w:rsid w:val="001C0517"/>
    <w:rsid w:val="001C0535"/>
    <w:rsid w:val="001C1C9D"/>
    <w:rsid w:val="001C4A73"/>
    <w:rsid w:val="001C4D2E"/>
    <w:rsid w:val="001C53F3"/>
    <w:rsid w:val="001C5AB6"/>
    <w:rsid w:val="001C6623"/>
    <w:rsid w:val="001C67B1"/>
    <w:rsid w:val="001C68B0"/>
    <w:rsid w:val="001C7262"/>
    <w:rsid w:val="001D0ED1"/>
    <w:rsid w:val="001D21A0"/>
    <w:rsid w:val="001D3A1B"/>
    <w:rsid w:val="001D62D4"/>
    <w:rsid w:val="001D7076"/>
    <w:rsid w:val="001D7A24"/>
    <w:rsid w:val="001E0459"/>
    <w:rsid w:val="001E04C9"/>
    <w:rsid w:val="001E08BC"/>
    <w:rsid w:val="001E0A18"/>
    <w:rsid w:val="001E19F4"/>
    <w:rsid w:val="001E4901"/>
    <w:rsid w:val="001E4E0B"/>
    <w:rsid w:val="001E6750"/>
    <w:rsid w:val="001E692A"/>
    <w:rsid w:val="001E716C"/>
    <w:rsid w:val="001F1D0C"/>
    <w:rsid w:val="001F2B9C"/>
    <w:rsid w:val="001F6AC3"/>
    <w:rsid w:val="001F6B4A"/>
    <w:rsid w:val="001F754F"/>
    <w:rsid w:val="00200F36"/>
    <w:rsid w:val="002013FF"/>
    <w:rsid w:val="002016F2"/>
    <w:rsid w:val="0020246B"/>
    <w:rsid w:val="00202F98"/>
    <w:rsid w:val="002040B3"/>
    <w:rsid w:val="00205E1A"/>
    <w:rsid w:val="0020653F"/>
    <w:rsid w:val="00206ECD"/>
    <w:rsid w:val="00213894"/>
    <w:rsid w:val="002150B7"/>
    <w:rsid w:val="002155EE"/>
    <w:rsid w:val="00215766"/>
    <w:rsid w:val="00215860"/>
    <w:rsid w:val="00215D59"/>
    <w:rsid w:val="00217978"/>
    <w:rsid w:val="00220745"/>
    <w:rsid w:val="002211BE"/>
    <w:rsid w:val="0022283E"/>
    <w:rsid w:val="00222CD2"/>
    <w:rsid w:val="00224044"/>
    <w:rsid w:val="00224321"/>
    <w:rsid w:val="0022484C"/>
    <w:rsid w:val="002272E9"/>
    <w:rsid w:val="00231801"/>
    <w:rsid w:val="00235235"/>
    <w:rsid w:val="00235249"/>
    <w:rsid w:val="00235A11"/>
    <w:rsid w:val="00240CF8"/>
    <w:rsid w:val="00241BD0"/>
    <w:rsid w:val="00241C90"/>
    <w:rsid w:val="00241F87"/>
    <w:rsid w:val="00243358"/>
    <w:rsid w:val="00245D34"/>
    <w:rsid w:val="00246B34"/>
    <w:rsid w:val="00246D5D"/>
    <w:rsid w:val="00246F16"/>
    <w:rsid w:val="002479FC"/>
    <w:rsid w:val="00247F18"/>
    <w:rsid w:val="00250425"/>
    <w:rsid w:val="00251818"/>
    <w:rsid w:val="002523C4"/>
    <w:rsid w:val="00253AAB"/>
    <w:rsid w:val="00253B58"/>
    <w:rsid w:val="002561CC"/>
    <w:rsid w:val="00260010"/>
    <w:rsid w:val="00260054"/>
    <w:rsid w:val="002602AF"/>
    <w:rsid w:val="00260413"/>
    <w:rsid w:val="0026044A"/>
    <w:rsid w:val="00260DE5"/>
    <w:rsid w:val="00261994"/>
    <w:rsid w:val="00262044"/>
    <w:rsid w:val="00264ADE"/>
    <w:rsid w:val="002656F8"/>
    <w:rsid w:val="00265C5B"/>
    <w:rsid w:val="002669CC"/>
    <w:rsid w:val="00266C0B"/>
    <w:rsid w:val="00273B20"/>
    <w:rsid w:val="00274711"/>
    <w:rsid w:val="00274E14"/>
    <w:rsid w:val="00275910"/>
    <w:rsid w:val="002760E6"/>
    <w:rsid w:val="002769CA"/>
    <w:rsid w:val="00276F36"/>
    <w:rsid w:val="002779BE"/>
    <w:rsid w:val="0028208D"/>
    <w:rsid w:val="002821ED"/>
    <w:rsid w:val="00283F16"/>
    <w:rsid w:val="002840A3"/>
    <w:rsid w:val="00285F55"/>
    <w:rsid w:val="00287F63"/>
    <w:rsid w:val="00290380"/>
    <w:rsid w:val="00292DF0"/>
    <w:rsid w:val="00294A53"/>
    <w:rsid w:val="00294E15"/>
    <w:rsid w:val="0029564A"/>
    <w:rsid w:val="00295C82"/>
    <w:rsid w:val="002A12B1"/>
    <w:rsid w:val="002A1A8D"/>
    <w:rsid w:val="002A1A99"/>
    <w:rsid w:val="002A215C"/>
    <w:rsid w:val="002A2D55"/>
    <w:rsid w:val="002B078F"/>
    <w:rsid w:val="002B0FA5"/>
    <w:rsid w:val="002B273C"/>
    <w:rsid w:val="002B37C0"/>
    <w:rsid w:val="002B6092"/>
    <w:rsid w:val="002B6298"/>
    <w:rsid w:val="002C031C"/>
    <w:rsid w:val="002C0C4A"/>
    <w:rsid w:val="002C2BED"/>
    <w:rsid w:val="002C533B"/>
    <w:rsid w:val="002C5E57"/>
    <w:rsid w:val="002C682B"/>
    <w:rsid w:val="002C6AF1"/>
    <w:rsid w:val="002C74B0"/>
    <w:rsid w:val="002C7BF0"/>
    <w:rsid w:val="002C7CA4"/>
    <w:rsid w:val="002D01BD"/>
    <w:rsid w:val="002D0BE8"/>
    <w:rsid w:val="002D45B8"/>
    <w:rsid w:val="002D4AF8"/>
    <w:rsid w:val="002D652C"/>
    <w:rsid w:val="002D7782"/>
    <w:rsid w:val="002E06BC"/>
    <w:rsid w:val="002E0787"/>
    <w:rsid w:val="002E0CF4"/>
    <w:rsid w:val="002E271C"/>
    <w:rsid w:val="002E2A99"/>
    <w:rsid w:val="002E2B24"/>
    <w:rsid w:val="002E3462"/>
    <w:rsid w:val="002E508D"/>
    <w:rsid w:val="002E5EFF"/>
    <w:rsid w:val="002E700A"/>
    <w:rsid w:val="002F0778"/>
    <w:rsid w:val="002F47D3"/>
    <w:rsid w:val="002F65CB"/>
    <w:rsid w:val="002F7086"/>
    <w:rsid w:val="00300D97"/>
    <w:rsid w:val="00302834"/>
    <w:rsid w:val="00302A25"/>
    <w:rsid w:val="003044BB"/>
    <w:rsid w:val="0030513E"/>
    <w:rsid w:val="00306711"/>
    <w:rsid w:val="003100F3"/>
    <w:rsid w:val="003111E0"/>
    <w:rsid w:val="00313C3E"/>
    <w:rsid w:val="0031427A"/>
    <w:rsid w:val="003155C3"/>
    <w:rsid w:val="003157B9"/>
    <w:rsid w:val="00316558"/>
    <w:rsid w:val="003205AE"/>
    <w:rsid w:val="00321C22"/>
    <w:rsid w:val="00321E4C"/>
    <w:rsid w:val="00322F80"/>
    <w:rsid w:val="00323554"/>
    <w:rsid w:val="00323D17"/>
    <w:rsid w:val="00324179"/>
    <w:rsid w:val="00325320"/>
    <w:rsid w:val="00325B47"/>
    <w:rsid w:val="00327D7C"/>
    <w:rsid w:val="00330D0B"/>
    <w:rsid w:val="00330DA4"/>
    <w:rsid w:val="00331F50"/>
    <w:rsid w:val="00332D95"/>
    <w:rsid w:val="00333741"/>
    <w:rsid w:val="003338E6"/>
    <w:rsid w:val="00333929"/>
    <w:rsid w:val="00334B6A"/>
    <w:rsid w:val="00334D86"/>
    <w:rsid w:val="0033578C"/>
    <w:rsid w:val="00335CAE"/>
    <w:rsid w:val="00335F80"/>
    <w:rsid w:val="00341134"/>
    <w:rsid w:val="00342230"/>
    <w:rsid w:val="00342983"/>
    <w:rsid w:val="003439D5"/>
    <w:rsid w:val="0034438B"/>
    <w:rsid w:val="00344E04"/>
    <w:rsid w:val="00346FBE"/>
    <w:rsid w:val="00347FF9"/>
    <w:rsid w:val="003508B0"/>
    <w:rsid w:val="0035337E"/>
    <w:rsid w:val="00354187"/>
    <w:rsid w:val="00354AB8"/>
    <w:rsid w:val="003559D5"/>
    <w:rsid w:val="00356F92"/>
    <w:rsid w:val="00357CC7"/>
    <w:rsid w:val="00360875"/>
    <w:rsid w:val="00364B46"/>
    <w:rsid w:val="003659CF"/>
    <w:rsid w:val="003677CD"/>
    <w:rsid w:val="0037036D"/>
    <w:rsid w:val="00370BB4"/>
    <w:rsid w:val="00371906"/>
    <w:rsid w:val="00372708"/>
    <w:rsid w:val="00372790"/>
    <w:rsid w:val="00376D32"/>
    <w:rsid w:val="00377228"/>
    <w:rsid w:val="00377480"/>
    <w:rsid w:val="00377550"/>
    <w:rsid w:val="00382BEA"/>
    <w:rsid w:val="00384DA2"/>
    <w:rsid w:val="0038536A"/>
    <w:rsid w:val="00386595"/>
    <w:rsid w:val="0038685E"/>
    <w:rsid w:val="0039135B"/>
    <w:rsid w:val="0039223D"/>
    <w:rsid w:val="003924AF"/>
    <w:rsid w:val="00392AF3"/>
    <w:rsid w:val="00392DDD"/>
    <w:rsid w:val="003933A0"/>
    <w:rsid w:val="003960E2"/>
    <w:rsid w:val="0039732E"/>
    <w:rsid w:val="003A5EB6"/>
    <w:rsid w:val="003A607B"/>
    <w:rsid w:val="003A7685"/>
    <w:rsid w:val="003B1502"/>
    <w:rsid w:val="003B26EC"/>
    <w:rsid w:val="003B2BBC"/>
    <w:rsid w:val="003B3C7F"/>
    <w:rsid w:val="003B52B4"/>
    <w:rsid w:val="003B5BFC"/>
    <w:rsid w:val="003B60B4"/>
    <w:rsid w:val="003C1BF2"/>
    <w:rsid w:val="003C473C"/>
    <w:rsid w:val="003C48D4"/>
    <w:rsid w:val="003C55F5"/>
    <w:rsid w:val="003D173C"/>
    <w:rsid w:val="003D1820"/>
    <w:rsid w:val="003D3A0C"/>
    <w:rsid w:val="003D61A6"/>
    <w:rsid w:val="003D7463"/>
    <w:rsid w:val="003E05A5"/>
    <w:rsid w:val="003E2D7A"/>
    <w:rsid w:val="003E4A24"/>
    <w:rsid w:val="003E4BE4"/>
    <w:rsid w:val="003E5E76"/>
    <w:rsid w:val="003E750F"/>
    <w:rsid w:val="003E7E79"/>
    <w:rsid w:val="003F1952"/>
    <w:rsid w:val="003F1B71"/>
    <w:rsid w:val="003F25F9"/>
    <w:rsid w:val="003F2687"/>
    <w:rsid w:val="003F3683"/>
    <w:rsid w:val="003F449E"/>
    <w:rsid w:val="003F790A"/>
    <w:rsid w:val="0040488C"/>
    <w:rsid w:val="004050E0"/>
    <w:rsid w:val="0040570C"/>
    <w:rsid w:val="00410D46"/>
    <w:rsid w:val="00411006"/>
    <w:rsid w:val="004119DF"/>
    <w:rsid w:val="00412F92"/>
    <w:rsid w:val="0041495B"/>
    <w:rsid w:val="00416C2F"/>
    <w:rsid w:val="00417418"/>
    <w:rsid w:val="00417A8E"/>
    <w:rsid w:val="00420296"/>
    <w:rsid w:val="00421984"/>
    <w:rsid w:val="00422CE7"/>
    <w:rsid w:val="00423966"/>
    <w:rsid w:val="00424F45"/>
    <w:rsid w:val="0043010B"/>
    <w:rsid w:val="00430C91"/>
    <w:rsid w:val="00432219"/>
    <w:rsid w:val="00432B87"/>
    <w:rsid w:val="0043326F"/>
    <w:rsid w:val="0043336F"/>
    <w:rsid w:val="004334E3"/>
    <w:rsid w:val="00434911"/>
    <w:rsid w:val="00437DF8"/>
    <w:rsid w:val="00441277"/>
    <w:rsid w:val="00441E52"/>
    <w:rsid w:val="00442284"/>
    <w:rsid w:val="00442DC9"/>
    <w:rsid w:val="00442F13"/>
    <w:rsid w:val="004449EB"/>
    <w:rsid w:val="00446232"/>
    <w:rsid w:val="004507A7"/>
    <w:rsid w:val="00453397"/>
    <w:rsid w:val="00453A01"/>
    <w:rsid w:val="0045547C"/>
    <w:rsid w:val="0045653E"/>
    <w:rsid w:val="004571BF"/>
    <w:rsid w:val="00460032"/>
    <w:rsid w:val="00463BF0"/>
    <w:rsid w:val="00464168"/>
    <w:rsid w:val="004667F3"/>
    <w:rsid w:val="00466E74"/>
    <w:rsid w:val="004673E3"/>
    <w:rsid w:val="004710E5"/>
    <w:rsid w:val="00471EBA"/>
    <w:rsid w:val="00473F87"/>
    <w:rsid w:val="00474172"/>
    <w:rsid w:val="00475001"/>
    <w:rsid w:val="004757C4"/>
    <w:rsid w:val="00476715"/>
    <w:rsid w:val="004767D8"/>
    <w:rsid w:val="004772B3"/>
    <w:rsid w:val="00477D65"/>
    <w:rsid w:val="00483001"/>
    <w:rsid w:val="0048331D"/>
    <w:rsid w:val="00484A3F"/>
    <w:rsid w:val="00485BEF"/>
    <w:rsid w:val="00486AB3"/>
    <w:rsid w:val="00486B01"/>
    <w:rsid w:val="0049003A"/>
    <w:rsid w:val="00491A19"/>
    <w:rsid w:val="00493AFA"/>
    <w:rsid w:val="004952DF"/>
    <w:rsid w:val="00495662"/>
    <w:rsid w:val="00495CEA"/>
    <w:rsid w:val="004A11A9"/>
    <w:rsid w:val="004A13A1"/>
    <w:rsid w:val="004A3F98"/>
    <w:rsid w:val="004A55F3"/>
    <w:rsid w:val="004B0E44"/>
    <w:rsid w:val="004B28B1"/>
    <w:rsid w:val="004B3B9C"/>
    <w:rsid w:val="004B4E90"/>
    <w:rsid w:val="004B5C34"/>
    <w:rsid w:val="004B604B"/>
    <w:rsid w:val="004B6CC7"/>
    <w:rsid w:val="004B7BD7"/>
    <w:rsid w:val="004C12E6"/>
    <w:rsid w:val="004C524A"/>
    <w:rsid w:val="004D45E8"/>
    <w:rsid w:val="004D6633"/>
    <w:rsid w:val="004D6EE4"/>
    <w:rsid w:val="004D73CF"/>
    <w:rsid w:val="004D7702"/>
    <w:rsid w:val="004E114D"/>
    <w:rsid w:val="004E2D04"/>
    <w:rsid w:val="004E36E0"/>
    <w:rsid w:val="004E43F9"/>
    <w:rsid w:val="004E57A1"/>
    <w:rsid w:val="004F070F"/>
    <w:rsid w:val="004F2E55"/>
    <w:rsid w:val="004F5EA9"/>
    <w:rsid w:val="004F7CFD"/>
    <w:rsid w:val="00500658"/>
    <w:rsid w:val="00500CFB"/>
    <w:rsid w:val="00501FD4"/>
    <w:rsid w:val="0050279D"/>
    <w:rsid w:val="00503D2E"/>
    <w:rsid w:val="00503F3F"/>
    <w:rsid w:val="005051D7"/>
    <w:rsid w:val="005061BD"/>
    <w:rsid w:val="0050659C"/>
    <w:rsid w:val="00506B58"/>
    <w:rsid w:val="0050790D"/>
    <w:rsid w:val="00511002"/>
    <w:rsid w:val="005116B4"/>
    <w:rsid w:val="005116E1"/>
    <w:rsid w:val="00512642"/>
    <w:rsid w:val="005134E2"/>
    <w:rsid w:val="005177C0"/>
    <w:rsid w:val="0052313D"/>
    <w:rsid w:val="00524052"/>
    <w:rsid w:val="00525760"/>
    <w:rsid w:val="00525AF3"/>
    <w:rsid w:val="005275B1"/>
    <w:rsid w:val="00527F4C"/>
    <w:rsid w:val="00532681"/>
    <w:rsid w:val="00532BAF"/>
    <w:rsid w:val="00532D25"/>
    <w:rsid w:val="00533D56"/>
    <w:rsid w:val="00533D72"/>
    <w:rsid w:val="00534EFA"/>
    <w:rsid w:val="00540E38"/>
    <w:rsid w:val="00541F0C"/>
    <w:rsid w:val="005421DE"/>
    <w:rsid w:val="005435F3"/>
    <w:rsid w:val="00543706"/>
    <w:rsid w:val="005440EC"/>
    <w:rsid w:val="005473F9"/>
    <w:rsid w:val="005530AB"/>
    <w:rsid w:val="00556F27"/>
    <w:rsid w:val="005612E7"/>
    <w:rsid w:val="00563776"/>
    <w:rsid w:val="005647B5"/>
    <w:rsid w:val="00565C50"/>
    <w:rsid w:val="00566A21"/>
    <w:rsid w:val="0056738B"/>
    <w:rsid w:val="00571409"/>
    <w:rsid w:val="00571869"/>
    <w:rsid w:val="00571A3E"/>
    <w:rsid w:val="00571DA8"/>
    <w:rsid w:val="005733F8"/>
    <w:rsid w:val="00574299"/>
    <w:rsid w:val="0057466A"/>
    <w:rsid w:val="00574F14"/>
    <w:rsid w:val="00575D1A"/>
    <w:rsid w:val="00575FFE"/>
    <w:rsid w:val="00577157"/>
    <w:rsid w:val="005776A0"/>
    <w:rsid w:val="00577DD2"/>
    <w:rsid w:val="005810E9"/>
    <w:rsid w:val="00581261"/>
    <w:rsid w:val="00581698"/>
    <w:rsid w:val="00582714"/>
    <w:rsid w:val="00582C34"/>
    <w:rsid w:val="00582DAB"/>
    <w:rsid w:val="0058331F"/>
    <w:rsid w:val="0058397A"/>
    <w:rsid w:val="00583D35"/>
    <w:rsid w:val="00584115"/>
    <w:rsid w:val="005863FB"/>
    <w:rsid w:val="0058701A"/>
    <w:rsid w:val="00587046"/>
    <w:rsid w:val="00590A6B"/>
    <w:rsid w:val="00590A73"/>
    <w:rsid w:val="005921A0"/>
    <w:rsid w:val="0059241E"/>
    <w:rsid w:val="00592621"/>
    <w:rsid w:val="00592FC0"/>
    <w:rsid w:val="005932C8"/>
    <w:rsid w:val="00593B44"/>
    <w:rsid w:val="005951C6"/>
    <w:rsid w:val="0059619E"/>
    <w:rsid w:val="005974DD"/>
    <w:rsid w:val="00597DA3"/>
    <w:rsid w:val="005A07AD"/>
    <w:rsid w:val="005A17BE"/>
    <w:rsid w:val="005A2C08"/>
    <w:rsid w:val="005A58C5"/>
    <w:rsid w:val="005A5DB3"/>
    <w:rsid w:val="005A6EC2"/>
    <w:rsid w:val="005B1936"/>
    <w:rsid w:val="005B4108"/>
    <w:rsid w:val="005B447A"/>
    <w:rsid w:val="005B687C"/>
    <w:rsid w:val="005B7E41"/>
    <w:rsid w:val="005C1428"/>
    <w:rsid w:val="005C1EC5"/>
    <w:rsid w:val="005C5682"/>
    <w:rsid w:val="005C56AF"/>
    <w:rsid w:val="005C56BE"/>
    <w:rsid w:val="005C645F"/>
    <w:rsid w:val="005C7396"/>
    <w:rsid w:val="005C7C45"/>
    <w:rsid w:val="005D309D"/>
    <w:rsid w:val="005D360C"/>
    <w:rsid w:val="005D4CD7"/>
    <w:rsid w:val="005D5985"/>
    <w:rsid w:val="005D62CE"/>
    <w:rsid w:val="005D6681"/>
    <w:rsid w:val="005E1999"/>
    <w:rsid w:val="005E3DAC"/>
    <w:rsid w:val="005F1234"/>
    <w:rsid w:val="005F145F"/>
    <w:rsid w:val="005F1462"/>
    <w:rsid w:val="005F18BE"/>
    <w:rsid w:val="005F3F03"/>
    <w:rsid w:val="005F4A10"/>
    <w:rsid w:val="006042C2"/>
    <w:rsid w:val="00604EB7"/>
    <w:rsid w:val="006060BB"/>
    <w:rsid w:val="0060658C"/>
    <w:rsid w:val="00610E24"/>
    <w:rsid w:val="00617768"/>
    <w:rsid w:val="00617D4E"/>
    <w:rsid w:val="00620828"/>
    <w:rsid w:val="0062192B"/>
    <w:rsid w:val="0062403B"/>
    <w:rsid w:val="00624045"/>
    <w:rsid w:val="0062416A"/>
    <w:rsid w:val="00630F35"/>
    <w:rsid w:val="006315D0"/>
    <w:rsid w:val="00631EEA"/>
    <w:rsid w:val="006338BA"/>
    <w:rsid w:val="00633B0C"/>
    <w:rsid w:val="00633B70"/>
    <w:rsid w:val="00634DCF"/>
    <w:rsid w:val="006372CF"/>
    <w:rsid w:val="00637AED"/>
    <w:rsid w:val="00640E41"/>
    <w:rsid w:val="00641B39"/>
    <w:rsid w:val="0064344D"/>
    <w:rsid w:val="00643910"/>
    <w:rsid w:val="00646BD7"/>
    <w:rsid w:val="00647119"/>
    <w:rsid w:val="006479A2"/>
    <w:rsid w:val="0065571D"/>
    <w:rsid w:val="00664A16"/>
    <w:rsid w:val="0066705F"/>
    <w:rsid w:val="006671D4"/>
    <w:rsid w:val="00667224"/>
    <w:rsid w:val="00667AC5"/>
    <w:rsid w:val="0067050A"/>
    <w:rsid w:val="00671058"/>
    <w:rsid w:val="006712E2"/>
    <w:rsid w:val="00671375"/>
    <w:rsid w:val="00671597"/>
    <w:rsid w:val="0067198C"/>
    <w:rsid w:val="00671EF9"/>
    <w:rsid w:val="00672745"/>
    <w:rsid w:val="006778E6"/>
    <w:rsid w:val="00681AEE"/>
    <w:rsid w:val="00681F92"/>
    <w:rsid w:val="006843F7"/>
    <w:rsid w:val="00687F89"/>
    <w:rsid w:val="00690114"/>
    <w:rsid w:val="006919B5"/>
    <w:rsid w:val="00692B6F"/>
    <w:rsid w:val="00693384"/>
    <w:rsid w:val="00694029"/>
    <w:rsid w:val="00695874"/>
    <w:rsid w:val="00696BF7"/>
    <w:rsid w:val="00696E78"/>
    <w:rsid w:val="006A0AB6"/>
    <w:rsid w:val="006A1B8D"/>
    <w:rsid w:val="006A2C23"/>
    <w:rsid w:val="006A2D3E"/>
    <w:rsid w:val="006A37D5"/>
    <w:rsid w:val="006A3CC6"/>
    <w:rsid w:val="006A458B"/>
    <w:rsid w:val="006A7683"/>
    <w:rsid w:val="006A783B"/>
    <w:rsid w:val="006A7FA6"/>
    <w:rsid w:val="006B0382"/>
    <w:rsid w:val="006B056B"/>
    <w:rsid w:val="006B1AF7"/>
    <w:rsid w:val="006B1ED2"/>
    <w:rsid w:val="006B2057"/>
    <w:rsid w:val="006B365D"/>
    <w:rsid w:val="006B4184"/>
    <w:rsid w:val="006B42BC"/>
    <w:rsid w:val="006B5B98"/>
    <w:rsid w:val="006B61DB"/>
    <w:rsid w:val="006B6B78"/>
    <w:rsid w:val="006B798F"/>
    <w:rsid w:val="006C18E6"/>
    <w:rsid w:val="006C279B"/>
    <w:rsid w:val="006C3A68"/>
    <w:rsid w:val="006C5D00"/>
    <w:rsid w:val="006C7333"/>
    <w:rsid w:val="006D0C73"/>
    <w:rsid w:val="006D1021"/>
    <w:rsid w:val="006D1D6A"/>
    <w:rsid w:val="006D397E"/>
    <w:rsid w:val="006D43AF"/>
    <w:rsid w:val="006D461C"/>
    <w:rsid w:val="006D5A74"/>
    <w:rsid w:val="006D6B44"/>
    <w:rsid w:val="006D7F00"/>
    <w:rsid w:val="006E1937"/>
    <w:rsid w:val="006E1C80"/>
    <w:rsid w:val="006E249F"/>
    <w:rsid w:val="006E28FC"/>
    <w:rsid w:val="006E556D"/>
    <w:rsid w:val="006E701E"/>
    <w:rsid w:val="006F0F88"/>
    <w:rsid w:val="007013E9"/>
    <w:rsid w:val="00701B16"/>
    <w:rsid w:val="007020B5"/>
    <w:rsid w:val="007025DA"/>
    <w:rsid w:val="00702D99"/>
    <w:rsid w:val="007061EF"/>
    <w:rsid w:val="00710F1F"/>
    <w:rsid w:val="00711060"/>
    <w:rsid w:val="00712D3C"/>
    <w:rsid w:val="00712FAC"/>
    <w:rsid w:val="00713C3A"/>
    <w:rsid w:val="00714870"/>
    <w:rsid w:val="007157BA"/>
    <w:rsid w:val="0071723E"/>
    <w:rsid w:val="0072249D"/>
    <w:rsid w:val="00723482"/>
    <w:rsid w:val="00724E5A"/>
    <w:rsid w:val="00725493"/>
    <w:rsid w:val="007264ED"/>
    <w:rsid w:val="0072722D"/>
    <w:rsid w:val="00727361"/>
    <w:rsid w:val="00730141"/>
    <w:rsid w:val="00731C41"/>
    <w:rsid w:val="00733618"/>
    <w:rsid w:val="0073425C"/>
    <w:rsid w:val="00735D03"/>
    <w:rsid w:val="00740EEA"/>
    <w:rsid w:val="00741A90"/>
    <w:rsid w:val="0074255E"/>
    <w:rsid w:val="007435CD"/>
    <w:rsid w:val="00743AF5"/>
    <w:rsid w:val="00744E78"/>
    <w:rsid w:val="00746E45"/>
    <w:rsid w:val="0074780C"/>
    <w:rsid w:val="00750BD6"/>
    <w:rsid w:val="00750D6F"/>
    <w:rsid w:val="00751143"/>
    <w:rsid w:val="00751D6C"/>
    <w:rsid w:val="00753257"/>
    <w:rsid w:val="007532D5"/>
    <w:rsid w:val="007533D1"/>
    <w:rsid w:val="00753C19"/>
    <w:rsid w:val="00756F0C"/>
    <w:rsid w:val="00757535"/>
    <w:rsid w:val="00760078"/>
    <w:rsid w:val="0076023B"/>
    <w:rsid w:val="007607D9"/>
    <w:rsid w:val="00761C87"/>
    <w:rsid w:val="0076216B"/>
    <w:rsid w:val="007632D9"/>
    <w:rsid w:val="00764A7A"/>
    <w:rsid w:val="0076768B"/>
    <w:rsid w:val="007706D0"/>
    <w:rsid w:val="007706FC"/>
    <w:rsid w:val="007709D1"/>
    <w:rsid w:val="007715D6"/>
    <w:rsid w:val="00772CC9"/>
    <w:rsid w:val="007731A8"/>
    <w:rsid w:val="007739D9"/>
    <w:rsid w:val="00775304"/>
    <w:rsid w:val="0077586E"/>
    <w:rsid w:val="0077791A"/>
    <w:rsid w:val="00777D13"/>
    <w:rsid w:val="007805DA"/>
    <w:rsid w:val="0078060B"/>
    <w:rsid w:val="00780AF6"/>
    <w:rsid w:val="00782DBB"/>
    <w:rsid w:val="0078387C"/>
    <w:rsid w:val="0078636B"/>
    <w:rsid w:val="00786943"/>
    <w:rsid w:val="00787809"/>
    <w:rsid w:val="007920B1"/>
    <w:rsid w:val="00792356"/>
    <w:rsid w:val="00792EDE"/>
    <w:rsid w:val="00792EEC"/>
    <w:rsid w:val="00792FB1"/>
    <w:rsid w:val="007A1989"/>
    <w:rsid w:val="007A20DA"/>
    <w:rsid w:val="007A2E9C"/>
    <w:rsid w:val="007A3EFC"/>
    <w:rsid w:val="007A4134"/>
    <w:rsid w:val="007A4583"/>
    <w:rsid w:val="007A4ACE"/>
    <w:rsid w:val="007A63E5"/>
    <w:rsid w:val="007A7501"/>
    <w:rsid w:val="007B03A6"/>
    <w:rsid w:val="007B351C"/>
    <w:rsid w:val="007B3A43"/>
    <w:rsid w:val="007B3AB9"/>
    <w:rsid w:val="007B3EC4"/>
    <w:rsid w:val="007B4CCE"/>
    <w:rsid w:val="007B4ED2"/>
    <w:rsid w:val="007B4F5E"/>
    <w:rsid w:val="007B517B"/>
    <w:rsid w:val="007B548E"/>
    <w:rsid w:val="007B5771"/>
    <w:rsid w:val="007B63F9"/>
    <w:rsid w:val="007B6617"/>
    <w:rsid w:val="007B6C9A"/>
    <w:rsid w:val="007C1413"/>
    <w:rsid w:val="007C1C5F"/>
    <w:rsid w:val="007C3B01"/>
    <w:rsid w:val="007C478B"/>
    <w:rsid w:val="007C5673"/>
    <w:rsid w:val="007C5A9D"/>
    <w:rsid w:val="007D202D"/>
    <w:rsid w:val="007D22BF"/>
    <w:rsid w:val="007D26C5"/>
    <w:rsid w:val="007D39C4"/>
    <w:rsid w:val="007D5784"/>
    <w:rsid w:val="007D6D48"/>
    <w:rsid w:val="007D7AF0"/>
    <w:rsid w:val="007E0854"/>
    <w:rsid w:val="007E15D9"/>
    <w:rsid w:val="007E328C"/>
    <w:rsid w:val="007E53F6"/>
    <w:rsid w:val="007F245C"/>
    <w:rsid w:val="007F37A8"/>
    <w:rsid w:val="007F42A3"/>
    <w:rsid w:val="007F4311"/>
    <w:rsid w:val="007F53A8"/>
    <w:rsid w:val="007F7CDF"/>
    <w:rsid w:val="007F7E0C"/>
    <w:rsid w:val="008000B1"/>
    <w:rsid w:val="0080031E"/>
    <w:rsid w:val="008014A7"/>
    <w:rsid w:val="00805EAC"/>
    <w:rsid w:val="0080626E"/>
    <w:rsid w:val="0081372D"/>
    <w:rsid w:val="0081386B"/>
    <w:rsid w:val="00813D77"/>
    <w:rsid w:val="008149CC"/>
    <w:rsid w:val="00815583"/>
    <w:rsid w:val="00815E92"/>
    <w:rsid w:val="00816793"/>
    <w:rsid w:val="00816A59"/>
    <w:rsid w:val="00817C26"/>
    <w:rsid w:val="00820C18"/>
    <w:rsid w:val="0082186E"/>
    <w:rsid w:val="00822204"/>
    <w:rsid w:val="0082246E"/>
    <w:rsid w:val="00822AC9"/>
    <w:rsid w:val="00823DEC"/>
    <w:rsid w:val="00825702"/>
    <w:rsid w:val="0082754D"/>
    <w:rsid w:val="008278BD"/>
    <w:rsid w:val="008302B4"/>
    <w:rsid w:val="00830569"/>
    <w:rsid w:val="00830B32"/>
    <w:rsid w:val="00833D9E"/>
    <w:rsid w:val="00835A73"/>
    <w:rsid w:val="008406B3"/>
    <w:rsid w:val="00843579"/>
    <w:rsid w:val="008453CF"/>
    <w:rsid w:val="00845D37"/>
    <w:rsid w:val="008461AE"/>
    <w:rsid w:val="00846AC2"/>
    <w:rsid w:val="00847774"/>
    <w:rsid w:val="00847D5A"/>
    <w:rsid w:val="00852F40"/>
    <w:rsid w:val="00853AD6"/>
    <w:rsid w:val="0085740D"/>
    <w:rsid w:val="0086089A"/>
    <w:rsid w:val="0086254A"/>
    <w:rsid w:val="00864188"/>
    <w:rsid w:val="00864BCE"/>
    <w:rsid w:val="00865898"/>
    <w:rsid w:val="00866B8C"/>
    <w:rsid w:val="00872457"/>
    <w:rsid w:val="00873725"/>
    <w:rsid w:val="00873DC6"/>
    <w:rsid w:val="00874AC0"/>
    <w:rsid w:val="008757F2"/>
    <w:rsid w:val="00876C91"/>
    <w:rsid w:val="00876EBA"/>
    <w:rsid w:val="00880212"/>
    <w:rsid w:val="00880EFC"/>
    <w:rsid w:val="008810BD"/>
    <w:rsid w:val="00881C96"/>
    <w:rsid w:val="00882258"/>
    <w:rsid w:val="00882E98"/>
    <w:rsid w:val="00883671"/>
    <w:rsid w:val="0088374C"/>
    <w:rsid w:val="00886235"/>
    <w:rsid w:val="00886FEE"/>
    <w:rsid w:val="00887D85"/>
    <w:rsid w:val="00890EA6"/>
    <w:rsid w:val="008923B5"/>
    <w:rsid w:val="00893EF9"/>
    <w:rsid w:val="008950B5"/>
    <w:rsid w:val="00896503"/>
    <w:rsid w:val="008965A1"/>
    <w:rsid w:val="0089670A"/>
    <w:rsid w:val="00897923"/>
    <w:rsid w:val="008A0E82"/>
    <w:rsid w:val="008A1CA2"/>
    <w:rsid w:val="008A1E56"/>
    <w:rsid w:val="008A217F"/>
    <w:rsid w:val="008A40DA"/>
    <w:rsid w:val="008A4CE5"/>
    <w:rsid w:val="008A5E66"/>
    <w:rsid w:val="008A6075"/>
    <w:rsid w:val="008B06FD"/>
    <w:rsid w:val="008B25E9"/>
    <w:rsid w:val="008B44B2"/>
    <w:rsid w:val="008B4714"/>
    <w:rsid w:val="008B4CC9"/>
    <w:rsid w:val="008B6CA7"/>
    <w:rsid w:val="008C1CD7"/>
    <w:rsid w:val="008C3458"/>
    <w:rsid w:val="008C4012"/>
    <w:rsid w:val="008C56CC"/>
    <w:rsid w:val="008C5AC4"/>
    <w:rsid w:val="008C6063"/>
    <w:rsid w:val="008C65D3"/>
    <w:rsid w:val="008C6C84"/>
    <w:rsid w:val="008C7488"/>
    <w:rsid w:val="008D47EE"/>
    <w:rsid w:val="008D4FD2"/>
    <w:rsid w:val="008E061A"/>
    <w:rsid w:val="008E0CEC"/>
    <w:rsid w:val="008E3131"/>
    <w:rsid w:val="008E37BA"/>
    <w:rsid w:val="008E4C8B"/>
    <w:rsid w:val="008E50D7"/>
    <w:rsid w:val="008E5B64"/>
    <w:rsid w:val="008E6F06"/>
    <w:rsid w:val="008F025E"/>
    <w:rsid w:val="008F1038"/>
    <w:rsid w:val="008F194E"/>
    <w:rsid w:val="008F1CEA"/>
    <w:rsid w:val="008F2348"/>
    <w:rsid w:val="008F2366"/>
    <w:rsid w:val="008F2C3C"/>
    <w:rsid w:val="008F4A02"/>
    <w:rsid w:val="008F5091"/>
    <w:rsid w:val="008F5C34"/>
    <w:rsid w:val="008F615D"/>
    <w:rsid w:val="008F669E"/>
    <w:rsid w:val="008F6A18"/>
    <w:rsid w:val="008F730D"/>
    <w:rsid w:val="009005FD"/>
    <w:rsid w:val="00900EC6"/>
    <w:rsid w:val="009036BE"/>
    <w:rsid w:val="00903B77"/>
    <w:rsid w:val="0090629A"/>
    <w:rsid w:val="0091045B"/>
    <w:rsid w:val="009105C2"/>
    <w:rsid w:val="00910EFA"/>
    <w:rsid w:val="00912046"/>
    <w:rsid w:val="00912AAA"/>
    <w:rsid w:val="00912BE8"/>
    <w:rsid w:val="00915032"/>
    <w:rsid w:val="00915E77"/>
    <w:rsid w:val="00920585"/>
    <w:rsid w:val="00921879"/>
    <w:rsid w:val="0092331C"/>
    <w:rsid w:val="00924176"/>
    <w:rsid w:val="00924434"/>
    <w:rsid w:val="0092500E"/>
    <w:rsid w:val="00927CF1"/>
    <w:rsid w:val="009321AE"/>
    <w:rsid w:val="00932BAA"/>
    <w:rsid w:val="00932DB1"/>
    <w:rsid w:val="0093678C"/>
    <w:rsid w:val="00936CC6"/>
    <w:rsid w:val="00940783"/>
    <w:rsid w:val="0094118B"/>
    <w:rsid w:val="00941681"/>
    <w:rsid w:val="00941863"/>
    <w:rsid w:val="0094202E"/>
    <w:rsid w:val="0094236A"/>
    <w:rsid w:val="00943BF1"/>
    <w:rsid w:val="009442AF"/>
    <w:rsid w:val="00944D28"/>
    <w:rsid w:val="00944E28"/>
    <w:rsid w:val="00945479"/>
    <w:rsid w:val="00945970"/>
    <w:rsid w:val="00945F79"/>
    <w:rsid w:val="009464F9"/>
    <w:rsid w:val="009468B2"/>
    <w:rsid w:val="009472CA"/>
    <w:rsid w:val="0095011F"/>
    <w:rsid w:val="00950C21"/>
    <w:rsid w:val="00950E68"/>
    <w:rsid w:val="009511C4"/>
    <w:rsid w:val="00954421"/>
    <w:rsid w:val="00963216"/>
    <w:rsid w:val="009654C8"/>
    <w:rsid w:val="00966E0F"/>
    <w:rsid w:val="009673C0"/>
    <w:rsid w:val="00970E38"/>
    <w:rsid w:val="00974BEB"/>
    <w:rsid w:val="009758F4"/>
    <w:rsid w:val="00977BA4"/>
    <w:rsid w:val="00980C30"/>
    <w:rsid w:val="00982A91"/>
    <w:rsid w:val="00986664"/>
    <w:rsid w:val="0098697E"/>
    <w:rsid w:val="009942D7"/>
    <w:rsid w:val="00995422"/>
    <w:rsid w:val="009A4676"/>
    <w:rsid w:val="009A4AC1"/>
    <w:rsid w:val="009A4EC8"/>
    <w:rsid w:val="009A7405"/>
    <w:rsid w:val="009B0C72"/>
    <w:rsid w:val="009B3742"/>
    <w:rsid w:val="009B3A15"/>
    <w:rsid w:val="009B4218"/>
    <w:rsid w:val="009B56B0"/>
    <w:rsid w:val="009B57FB"/>
    <w:rsid w:val="009B7196"/>
    <w:rsid w:val="009B719E"/>
    <w:rsid w:val="009C01C2"/>
    <w:rsid w:val="009C0DF5"/>
    <w:rsid w:val="009C2CCC"/>
    <w:rsid w:val="009C4F52"/>
    <w:rsid w:val="009C4FAE"/>
    <w:rsid w:val="009C5854"/>
    <w:rsid w:val="009C6868"/>
    <w:rsid w:val="009C686F"/>
    <w:rsid w:val="009C71CB"/>
    <w:rsid w:val="009D3B61"/>
    <w:rsid w:val="009D3CB1"/>
    <w:rsid w:val="009D48B9"/>
    <w:rsid w:val="009D6854"/>
    <w:rsid w:val="009D6B4D"/>
    <w:rsid w:val="009D79BD"/>
    <w:rsid w:val="009E105F"/>
    <w:rsid w:val="009E40BD"/>
    <w:rsid w:val="009E427C"/>
    <w:rsid w:val="009E4FB0"/>
    <w:rsid w:val="009E5C0B"/>
    <w:rsid w:val="009E655F"/>
    <w:rsid w:val="009E7E5A"/>
    <w:rsid w:val="009F0AE2"/>
    <w:rsid w:val="009F458F"/>
    <w:rsid w:val="009F4ED1"/>
    <w:rsid w:val="009F594D"/>
    <w:rsid w:val="009F6190"/>
    <w:rsid w:val="009F7401"/>
    <w:rsid w:val="009F776B"/>
    <w:rsid w:val="00A00223"/>
    <w:rsid w:val="00A0041D"/>
    <w:rsid w:val="00A00FE2"/>
    <w:rsid w:val="00A03B4D"/>
    <w:rsid w:val="00A04AF6"/>
    <w:rsid w:val="00A05DFB"/>
    <w:rsid w:val="00A06FA4"/>
    <w:rsid w:val="00A101E6"/>
    <w:rsid w:val="00A10ACF"/>
    <w:rsid w:val="00A113B3"/>
    <w:rsid w:val="00A13FBD"/>
    <w:rsid w:val="00A144FF"/>
    <w:rsid w:val="00A14E3C"/>
    <w:rsid w:val="00A15148"/>
    <w:rsid w:val="00A17B9C"/>
    <w:rsid w:val="00A2065C"/>
    <w:rsid w:val="00A2300A"/>
    <w:rsid w:val="00A232B3"/>
    <w:rsid w:val="00A23AEF"/>
    <w:rsid w:val="00A23D9E"/>
    <w:rsid w:val="00A2574E"/>
    <w:rsid w:val="00A31009"/>
    <w:rsid w:val="00A31FF1"/>
    <w:rsid w:val="00A329FA"/>
    <w:rsid w:val="00A33D76"/>
    <w:rsid w:val="00A367B6"/>
    <w:rsid w:val="00A36B36"/>
    <w:rsid w:val="00A36EF8"/>
    <w:rsid w:val="00A37769"/>
    <w:rsid w:val="00A40D0D"/>
    <w:rsid w:val="00A418B8"/>
    <w:rsid w:val="00A4289C"/>
    <w:rsid w:val="00A443EF"/>
    <w:rsid w:val="00A4469F"/>
    <w:rsid w:val="00A44B31"/>
    <w:rsid w:val="00A457A7"/>
    <w:rsid w:val="00A46DE9"/>
    <w:rsid w:val="00A5017A"/>
    <w:rsid w:val="00A5117E"/>
    <w:rsid w:val="00A5171F"/>
    <w:rsid w:val="00A521DE"/>
    <w:rsid w:val="00A560C9"/>
    <w:rsid w:val="00A573AE"/>
    <w:rsid w:val="00A6031F"/>
    <w:rsid w:val="00A604F5"/>
    <w:rsid w:val="00A62035"/>
    <w:rsid w:val="00A624BC"/>
    <w:rsid w:val="00A6267E"/>
    <w:rsid w:val="00A63168"/>
    <w:rsid w:val="00A64550"/>
    <w:rsid w:val="00A64A15"/>
    <w:rsid w:val="00A65A75"/>
    <w:rsid w:val="00A65F98"/>
    <w:rsid w:val="00A66BB5"/>
    <w:rsid w:val="00A703C5"/>
    <w:rsid w:val="00A71139"/>
    <w:rsid w:val="00A72A44"/>
    <w:rsid w:val="00A72DC3"/>
    <w:rsid w:val="00A73242"/>
    <w:rsid w:val="00A74294"/>
    <w:rsid w:val="00A75E05"/>
    <w:rsid w:val="00A76702"/>
    <w:rsid w:val="00A770C2"/>
    <w:rsid w:val="00A7770F"/>
    <w:rsid w:val="00A80DDF"/>
    <w:rsid w:val="00A8170C"/>
    <w:rsid w:val="00A82819"/>
    <w:rsid w:val="00A82F5D"/>
    <w:rsid w:val="00A842F2"/>
    <w:rsid w:val="00A85804"/>
    <w:rsid w:val="00A86121"/>
    <w:rsid w:val="00A8639E"/>
    <w:rsid w:val="00A86591"/>
    <w:rsid w:val="00A903FE"/>
    <w:rsid w:val="00A9266D"/>
    <w:rsid w:val="00A93858"/>
    <w:rsid w:val="00A9514B"/>
    <w:rsid w:val="00A959F9"/>
    <w:rsid w:val="00A9644A"/>
    <w:rsid w:val="00A97ECF"/>
    <w:rsid w:val="00AA17CB"/>
    <w:rsid w:val="00AA19C5"/>
    <w:rsid w:val="00AA2075"/>
    <w:rsid w:val="00AA2FB4"/>
    <w:rsid w:val="00AA397E"/>
    <w:rsid w:val="00AA4D34"/>
    <w:rsid w:val="00AA5611"/>
    <w:rsid w:val="00AA60AD"/>
    <w:rsid w:val="00AB0E8E"/>
    <w:rsid w:val="00AB18D2"/>
    <w:rsid w:val="00AB2A21"/>
    <w:rsid w:val="00AB38A6"/>
    <w:rsid w:val="00AB3F2F"/>
    <w:rsid w:val="00AB4FC6"/>
    <w:rsid w:val="00AC2969"/>
    <w:rsid w:val="00AC33C9"/>
    <w:rsid w:val="00AC4F14"/>
    <w:rsid w:val="00AC71C5"/>
    <w:rsid w:val="00AC7ED6"/>
    <w:rsid w:val="00AD01BE"/>
    <w:rsid w:val="00AD02AF"/>
    <w:rsid w:val="00AD058E"/>
    <w:rsid w:val="00AD12EB"/>
    <w:rsid w:val="00AD4AEC"/>
    <w:rsid w:val="00AD67DA"/>
    <w:rsid w:val="00AD7059"/>
    <w:rsid w:val="00AE107E"/>
    <w:rsid w:val="00AE31F1"/>
    <w:rsid w:val="00AE35D1"/>
    <w:rsid w:val="00AE51DE"/>
    <w:rsid w:val="00AE53F8"/>
    <w:rsid w:val="00AE7496"/>
    <w:rsid w:val="00AF0613"/>
    <w:rsid w:val="00AF26B7"/>
    <w:rsid w:val="00AF27C8"/>
    <w:rsid w:val="00AF3903"/>
    <w:rsid w:val="00AF61D9"/>
    <w:rsid w:val="00B0077A"/>
    <w:rsid w:val="00B00C9B"/>
    <w:rsid w:val="00B05628"/>
    <w:rsid w:val="00B07608"/>
    <w:rsid w:val="00B07C44"/>
    <w:rsid w:val="00B112D9"/>
    <w:rsid w:val="00B16E7C"/>
    <w:rsid w:val="00B17105"/>
    <w:rsid w:val="00B17802"/>
    <w:rsid w:val="00B2367A"/>
    <w:rsid w:val="00B24474"/>
    <w:rsid w:val="00B24C36"/>
    <w:rsid w:val="00B25449"/>
    <w:rsid w:val="00B26FDD"/>
    <w:rsid w:val="00B311E5"/>
    <w:rsid w:val="00B31927"/>
    <w:rsid w:val="00B31B4A"/>
    <w:rsid w:val="00B33207"/>
    <w:rsid w:val="00B34886"/>
    <w:rsid w:val="00B34A0F"/>
    <w:rsid w:val="00B34BCD"/>
    <w:rsid w:val="00B3550C"/>
    <w:rsid w:val="00B35A13"/>
    <w:rsid w:val="00B406F6"/>
    <w:rsid w:val="00B42A96"/>
    <w:rsid w:val="00B43963"/>
    <w:rsid w:val="00B43EE6"/>
    <w:rsid w:val="00B45B97"/>
    <w:rsid w:val="00B4658E"/>
    <w:rsid w:val="00B470AE"/>
    <w:rsid w:val="00B50B95"/>
    <w:rsid w:val="00B51063"/>
    <w:rsid w:val="00B5365C"/>
    <w:rsid w:val="00B546ED"/>
    <w:rsid w:val="00B54C4A"/>
    <w:rsid w:val="00B57D15"/>
    <w:rsid w:val="00B61432"/>
    <w:rsid w:val="00B63384"/>
    <w:rsid w:val="00B65965"/>
    <w:rsid w:val="00B65B47"/>
    <w:rsid w:val="00B6613B"/>
    <w:rsid w:val="00B67092"/>
    <w:rsid w:val="00B67D76"/>
    <w:rsid w:val="00B7015D"/>
    <w:rsid w:val="00B71A64"/>
    <w:rsid w:val="00B72FB8"/>
    <w:rsid w:val="00B745C0"/>
    <w:rsid w:val="00B7717B"/>
    <w:rsid w:val="00B802B0"/>
    <w:rsid w:val="00B82F5D"/>
    <w:rsid w:val="00B83A4A"/>
    <w:rsid w:val="00B83AB6"/>
    <w:rsid w:val="00B83FCB"/>
    <w:rsid w:val="00B8588D"/>
    <w:rsid w:val="00B90321"/>
    <w:rsid w:val="00B92FDD"/>
    <w:rsid w:val="00B93611"/>
    <w:rsid w:val="00B94525"/>
    <w:rsid w:val="00B9743C"/>
    <w:rsid w:val="00B9762F"/>
    <w:rsid w:val="00B97D38"/>
    <w:rsid w:val="00BA0B5C"/>
    <w:rsid w:val="00BA1A4B"/>
    <w:rsid w:val="00BA2DBD"/>
    <w:rsid w:val="00BA5A6C"/>
    <w:rsid w:val="00BA6835"/>
    <w:rsid w:val="00BA7E1B"/>
    <w:rsid w:val="00BB1831"/>
    <w:rsid w:val="00BB2426"/>
    <w:rsid w:val="00BB295B"/>
    <w:rsid w:val="00BB2A74"/>
    <w:rsid w:val="00BB2CA7"/>
    <w:rsid w:val="00BB31A1"/>
    <w:rsid w:val="00BB354C"/>
    <w:rsid w:val="00BB659E"/>
    <w:rsid w:val="00BB6767"/>
    <w:rsid w:val="00BB6BC3"/>
    <w:rsid w:val="00BB731B"/>
    <w:rsid w:val="00BB7364"/>
    <w:rsid w:val="00BC167D"/>
    <w:rsid w:val="00BC3F77"/>
    <w:rsid w:val="00BC47A1"/>
    <w:rsid w:val="00BC4934"/>
    <w:rsid w:val="00BC56D0"/>
    <w:rsid w:val="00BC5D9A"/>
    <w:rsid w:val="00BC7765"/>
    <w:rsid w:val="00BD0350"/>
    <w:rsid w:val="00BD12D5"/>
    <w:rsid w:val="00BD1501"/>
    <w:rsid w:val="00BD23E9"/>
    <w:rsid w:val="00BD2CE0"/>
    <w:rsid w:val="00BD6831"/>
    <w:rsid w:val="00BE06C5"/>
    <w:rsid w:val="00BE0CFA"/>
    <w:rsid w:val="00BE17CF"/>
    <w:rsid w:val="00BE23ED"/>
    <w:rsid w:val="00BE23FF"/>
    <w:rsid w:val="00BE2867"/>
    <w:rsid w:val="00BE2A09"/>
    <w:rsid w:val="00BE2AE4"/>
    <w:rsid w:val="00BE3923"/>
    <w:rsid w:val="00BE6331"/>
    <w:rsid w:val="00BE700A"/>
    <w:rsid w:val="00BE7744"/>
    <w:rsid w:val="00BF077C"/>
    <w:rsid w:val="00BF1000"/>
    <w:rsid w:val="00BF125B"/>
    <w:rsid w:val="00BF3A6A"/>
    <w:rsid w:val="00BF50C6"/>
    <w:rsid w:val="00BF5AAC"/>
    <w:rsid w:val="00C00D02"/>
    <w:rsid w:val="00C00E86"/>
    <w:rsid w:val="00C010C7"/>
    <w:rsid w:val="00C01CC9"/>
    <w:rsid w:val="00C02CEA"/>
    <w:rsid w:val="00C033EA"/>
    <w:rsid w:val="00C04D45"/>
    <w:rsid w:val="00C07DFC"/>
    <w:rsid w:val="00C10289"/>
    <w:rsid w:val="00C10E5A"/>
    <w:rsid w:val="00C1149C"/>
    <w:rsid w:val="00C154E1"/>
    <w:rsid w:val="00C15DE0"/>
    <w:rsid w:val="00C15E9A"/>
    <w:rsid w:val="00C21D31"/>
    <w:rsid w:val="00C22371"/>
    <w:rsid w:val="00C22733"/>
    <w:rsid w:val="00C24386"/>
    <w:rsid w:val="00C245FA"/>
    <w:rsid w:val="00C2501D"/>
    <w:rsid w:val="00C27175"/>
    <w:rsid w:val="00C27773"/>
    <w:rsid w:val="00C27D25"/>
    <w:rsid w:val="00C340B5"/>
    <w:rsid w:val="00C341F0"/>
    <w:rsid w:val="00C341F5"/>
    <w:rsid w:val="00C35647"/>
    <w:rsid w:val="00C3659B"/>
    <w:rsid w:val="00C36AB5"/>
    <w:rsid w:val="00C36FE1"/>
    <w:rsid w:val="00C40B42"/>
    <w:rsid w:val="00C41380"/>
    <w:rsid w:val="00C42D69"/>
    <w:rsid w:val="00C42F4D"/>
    <w:rsid w:val="00C43A00"/>
    <w:rsid w:val="00C517BA"/>
    <w:rsid w:val="00C54526"/>
    <w:rsid w:val="00C554A0"/>
    <w:rsid w:val="00C60A96"/>
    <w:rsid w:val="00C6340C"/>
    <w:rsid w:val="00C650B8"/>
    <w:rsid w:val="00C650BE"/>
    <w:rsid w:val="00C65A7A"/>
    <w:rsid w:val="00C65B88"/>
    <w:rsid w:val="00C7443E"/>
    <w:rsid w:val="00C74A33"/>
    <w:rsid w:val="00C75199"/>
    <w:rsid w:val="00C75651"/>
    <w:rsid w:val="00C7612F"/>
    <w:rsid w:val="00C80E57"/>
    <w:rsid w:val="00C82086"/>
    <w:rsid w:val="00C829F9"/>
    <w:rsid w:val="00C83AD9"/>
    <w:rsid w:val="00C85376"/>
    <w:rsid w:val="00C86FEA"/>
    <w:rsid w:val="00C90277"/>
    <w:rsid w:val="00C902F1"/>
    <w:rsid w:val="00C90E30"/>
    <w:rsid w:val="00C9291E"/>
    <w:rsid w:val="00C92F81"/>
    <w:rsid w:val="00C93458"/>
    <w:rsid w:val="00C93E2A"/>
    <w:rsid w:val="00C942F7"/>
    <w:rsid w:val="00C95060"/>
    <w:rsid w:val="00C96A29"/>
    <w:rsid w:val="00C96C28"/>
    <w:rsid w:val="00C979D7"/>
    <w:rsid w:val="00C97FF1"/>
    <w:rsid w:val="00CA05AF"/>
    <w:rsid w:val="00CA0876"/>
    <w:rsid w:val="00CA220B"/>
    <w:rsid w:val="00CA2ABF"/>
    <w:rsid w:val="00CA2E7F"/>
    <w:rsid w:val="00CA5783"/>
    <w:rsid w:val="00CA7FF4"/>
    <w:rsid w:val="00CB06F7"/>
    <w:rsid w:val="00CB0DD3"/>
    <w:rsid w:val="00CB17EA"/>
    <w:rsid w:val="00CB3443"/>
    <w:rsid w:val="00CB5CB1"/>
    <w:rsid w:val="00CB5F8D"/>
    <w:rsid w:val="00CB6F19"/>
    <w:rsid w:val="00CC05EE"/>
    <w:rsid w:val="00CC2F01"/>
    <w:rsid w:val="00CC67B8"/>
    <w:rsid w:val="00CC75C5"/>
    <w:rsid w:val="00CC799A"/>
    <w:rsid w:val="00CD0345"/>
    <w:rsid w:val="00CD209E"/>
    <w:rsid w:val="00CD2BF4"/>
    <w:rsid w:val="00CD38CA"/>
    <w:rsid w:val="00CD3C75"/>
    <w:rsid w:val="00CD7325"/>
    <w:rsid w:val="00CE1DD3"/>
    <w:rsid w:val="00CE4788"/>
    <w:rsid w:val="00CE65B7"/>
    <w:rsid w:val="00CE72C3"/>
    <w:rsid w:val="00CE7423"/>
    <w:rsid w:val="00CE7730"/>
    <w:rsid w:val="00CE7E18"/>
    <w:rsid w:val="00CF0817"/>
    <w:rsid w:val="00CF12E3"/>
    <w:rsid w:val="00CF1AFF"/>
    <w:rsid w:val="00CF2505"/>
    <w:rsid w:val="00CF48BB"/>
    <w:rsid w:val="00CF4D1D"/>
    <w:rsid w:val="00CF7528"/>
    <w:rsid w:val="00CF79E2"/>
    <w:rsid w:val="00D00FAF"/>
    <w:rsid w:val="00D0123D"/>
    <w:rsid w:val="00D029C6"/>
    <w:rsid w:val="00D03D9A"/>
    <w:rsid w:val="00D04C38"/>
    <w:rsid w:val="00D04E35"/>
    <w:rsid w:val="00D0583C"/>
    <w:rsid w:val="00D0588F"/>
    <w:rsid w:val="00D0665E"/>
    <w:rsid w:val="00D0781D"/>
    <w:rsid w:val="00D07BE7"/>
    <w:rsid w:val="00D12489"/>
    <w:rsid w:val="00D13549"/>
    <w:rsid w:val="00D13E1E"/>
    <w:rsid w:val="00D16FAE"/>
    <w:rsid w:val="00D204E5"/>
    <w:rsid w:val="00D21A86"/>
    <w:rsid w:val="00D227F7"/>
    <w:rsid w:val="00D235B0"/>
    <w:rsid w:val="00D2380E"/>
    <w:rsid w:val="00D23889"/>
    <w:rsid w:val="00D2603F"/>
    <w:rsid w:val="00D26628"/>
    <w:rsid w:val="00D27BB3"/>
    <w:rsid w:val="00D3009E"/>
    <w:rsid w:val="00D306A0"/>
    <w:rsid w:val="00D323DB"/>
    <w:rsid w:val="00D32914"/>
    <w:rsid w:val="00D36254"/>
    <w:rsid w:val="00D367EC"/>
    <w:rsid w:val="00D41C31"/>
    <w:rsid w:val="00D4466B"/>
    <w:rsid w:val="00D44A20"/>
    <w:rsid w:val="00D44A8C"/>
    <w:rsid w:val="00D456E5"/>
    <w:rsid w:val="00D46E57"/>
    <w:rsid w:val="00D4716A"/>
    <w:rsid w:val="00D518E1"/>
    <w:rsid w:val="00D51E2D"/>
    <w:rsid w:val="00D53470"/>
    <w:rsid w:val="00D537DA"/>
    <w:rsid w:val="00D53A94"/>
    <w:rsid w:val="00D53C8D"/>
    <w:rsid w:val="00D54447"/>
    <w:rsid w:val="00D56652"/>
    <w:rsid w:val="00D57496"/>
    <w:rsid w:val="00D57DA1"/>
    <w:rsid w:val="00D57EEC"/>
    <w:rsid w:val="00D603F2"/>
    <w:rsid w:val="00D6194D"/>
    <w:rsid w:val="00D62475"/>
    <w:rsid w:val="00D6274A"/>
    <w:rsid w:val="00D670B8"/>
    <w:rsid w:val="00D67DE9"/>
    <w:rsid w:val="00D743BE"/>
    <w:rsid w:val="00D75A5D"/>
    <w:rsid w:val="00D81669"/>
    <w:rsid w:val="00D839F1"/>
    <w:rsid w:val="00D86BF6"/>
    <w:rsid w:val="00D86E2F"/>
    <w:rsid w:val="00D905B6"/>
    <w:rsid w:val="00D909B8"/>
    <w:rsid w:val="00D90C89"/>
    <w:rsid w:val="00D9105D"/>
    <w:rsid w:val="00D93CF7"/>
    <w:rsid w:val="00D9443A"/>
    <w:rsid w:val="00D951FB"/>
    <w:rsid w:val="00D953F6"/>
    <w:rsid w:val="00DA035F"/>
    <w:rsid w:val="00DA1A30"/>
    <w:rsid w:val="00DA329A"/>
    <w:rsid w:val="00DA5EDA"/>
    <w:rsid w:val="00DA7764"/>
    <w:rsid w:val="00DB0BAA"/>
    <w:rsid w:val="00DB20F7"/>
    <w:rsid w:val="00DB5629"/>
    <w:rsid w:val="00DB5A0E"/>
    <w:rsid w:val="00DB5E20"/>
    <w:rsid w:val="00DC2417"/>
    <w:rsid w:val="00DC37A6"/>
    <w:rsid w:val="00DC384A"/>
    <w:rsid w:val="00DC4DAF"/>
    <w:rsid w:val="00DC4E6A"/>
    <w:rsid w:val="00DC5AAC"/>
    <w:rsid w:val="00DC5C05"/>
    <w:rsid w:val="00DC7293"/>
    <w:rsid w:val="00DD1D58"/>
    <w:rsid w:val="00DD27CB"/>
    <w:rsid w:val="00DD3FCA"/>
    <w:rsid w:val="00DD5477"/>
    <w:rsid w:val="00DD6EC9"/>
    <w:rsid w:val="00DE07F1"/>
    <w:rsid w:val="00DE0AB8"/>
    <w:rsid w:val="00DE0CDF"/>
    <w:rsid w:val="00DE0EB7"/>
    <w:rsid w:val="00DE1749"/>
    <w:rsid w:val="00DE602D"/>
    <w:rsid w:val="00DF10F6"/>
    <w:rsid w:val="00DF171E"/>
    <w:rsid w:val="00DF4581"/>
    <w:rsid w:val="00DF5D14"/>
    <w:rsid w:val="00DF711A"/>
    <w:rsid w:val="00E006DA"/>
    <w:rsid w:val="00E00B00"/>
    <w:rsid w:val="00E01E76"/>
    <w:rsid w:val="00E04B6B"/>
    <w:rsid w:val="00E05CA9"/>
    <w:rsid w:val="00E061F6"/>
    <w:rsid w:val="00E10A62"/>
    <w:rsid w:val="00E14300"/>
    <w:rsid w:val="00E15814"/>
    <w:rsid w:val="00E20DCD"/>
    <w:rsid w:val="00E21336"/>
    <w:rsid w:val="00E21EE1"/>
    <w:rsid w:val="00E225FD"/>
    <w:rsid w:val="00E24464"/>
    <w:rsid w:val="00E30D5A"/>
    <w:rsid w:val="00E30F2C"/>
    <w:rsid w:val="00E3109B"/>
    <w:rsid w:val="00E314CC"/>
    <w:rsid w:val="00E315DE"/>
    <w:rsid w:val="00E31DCD"/>
    <w:rsid w:val="00E31E75"/>
    <w:rsid w:val="00E36BF9"/>
    <w:rsid w:val="00E375EC"/>
    <w:rsid w:val="00E37AA8"/>
    <w:rsid w:val="00E41072"/>
    <w:rsid w:val="00E412B0"/>
    <w:rsid w:val="00E44CEB"/>
    <w:rsid w:val="00E45C7E"/>
    <w:rsid w:val="00E47DE4"/>
    <w:rsid w:val="00E5085F"/>
    <w:rsid w:val="00E50D22"/>
    <w:rsid w:val="00E52186"/>
    <w:rsid w:val="00E556DA"/>
    <w:rsid w:val="00E56BAF"/>
    <w:rsid w:val="00E570DA"/>
    <w:rsid w:val="00E61B30"/>
    <w:rsid w:val="00E6257D"/>
    <w:rsid w:val="00E63300"/>
    <w:rsid w:val="00E6460E"/>
    <w:rsid w:val="00E652F1"/>
    <w:rsid w:val="00E65C4D"/>
    <w:rsid w:val="00E67A97"/>
    <w:rsid w:val="00E717BE"/>
    <w:rsid w:val="00E718B7"/>
    <w:rsid w:val="00E72790"/>
    <w:rsid w:val="00E72B45"/>
    <w:rsid w:val="00E75F02"/>
    <w:rsid w:val="00E75F78"/>
    <w:rsid w:val="00E76369"/>
    <w:rsid w:val="00E768A0"/>
    <w:rsid w:val="00E76C79"/>
    <w:rsid w:val="00E80847"/>
    <w:rsid w:val="00E8353E"/>
    <w:rsid w:val="00E84826"/>
    <w:rsid w:val="00E84B5B"/>
    <w:rsid w:val="00E851DD"/>
    <w:rsid w:val="00E85B05"/>
    <w:rsid w:val="00E85E49"/>
    <w:rsid w:val="00E86B72"/>
    <w:rsid w:val="00E8787E"/>
    <w:rsid w:val="00E90D0A"/>
    <w:rsid w:val="00E915B7"/>
    <w:rsid w:val="00E924E3"/>
    <w:rsid w:val="00E9327F"/>
    <w:rsid w:val="00E94679"/>
    <w:rsid w:val="00E9499C"/>
    <w:rsid w:val="00E94AEB"/>
    <w:rsid w:val="00E96193"/>
    <w:rsid w:val="00EA43BF"/>
    <w:rsid w:val="00EA5BFE"/>
    <w:rsid w:val="00EA6289"/>
    <w:rsid w:val="00EB2A73"/>
    <w:rsid w:val="00EB470D"/>
    <w:rsid w:val="00EB50AA"/>
    <w:rsid w:val="00EB5EE7"/>
    <w:rsid w:val="00EB67BE"/>
    <w:rsid w:val="00EB6EDC"/>
    <w:rsid w:val="00EB70B6"/>
    <w:rsid w:val="00EB7AA0"/>
    <w:rsid w:val="00EC2092"/>
    <w:rsid w:val="00EC3572"/>
    <w:rsid w:val="00EC3DC5"/>
    <w:rsid w:val="00EC406D"/>
    <w:rsid w:val="00EC7810"/>
    <w:rsid w:val="00EC7A8E"/>
    <w:rsid w:val="00ED1A2F"/>
    <w:rsid w:val="00ED302B"/>
    <w:rsid w:val="00EE1878"/>
    <w:rsid w:val="00EE27A2"/>
    <w:rsid w:val="00EE30E5"/>
    <w:rsid w:val="00EE3300"/>
    <w:rsid w:val="00EE3875"/>
    <w:rsid w:val="00EE5881"/>
    <w:rsid w:val="00EE5CA7"/>
    <w:rsid w:val="00EE66EC"/>
    <w:rsid w:val="00EE6D8A"/>
    <w:rsid w:val="00EE77BE"/>
    <w:rsid w:val="00EF41F0"/>
    <w:rsid w:val="00EF4249"/>
    <w:rsid w:val="00EF7ACA"/>
    <w:rsid w:val="00EF7F67"/>
    <w:rsid w:val="00F01B7D"/>
    <w:rsid w:val="00F0242E"/>
    <w:rsid w:val="00F033FF"/>
    <w:rsid w:val="00F03620"/>
    <w:rsid w:val="00F04699"/>
    <w:rsid w:val="00F05A36"/>
    <w:rsid w:val="00F102F9"/>
    <w:rsid w:val="00F109B4"/>
    <w:rsid w:val="00F10E4B"/>
    <w:rsid w:val="00F10EF3"/>
    <w:rsid w:val="00F12BA5"/>
    <w:rsid w:val="00F13D1E"/>
    <w:rsid w:val="00F14C06"/>
    <w:rsid w:val="00F15036"/>
    <w:rsid w:val="00F240D8"/>
    <w:rsid w:val="00F24606"/>
    <w:rsid w:val="00F25169"/>
    <w:rsid w:val="00F25B55"/>
    <w:rsid w:val="00F27A7E"/>
    <w:rsid w:val="00F27ADC"/>
    <w:rsid w:val="00F31A75"/>
    <w:rsid w:val="00F31C5B"/>
    <w:rsid w:val="00F34F0C"/>
    <w:rsid w:val="00F35BE8"/>
    <w:rsid w:val="00F433E1"/>
    <w:rsid w:val="00F44441"/>
    <w:rsid w:val="00F4494A"/>
    <w:rsid w:val="00F50546"/>
    <w:rsid w:val="00F50B0C"/>
    <w:rsid w:val="00F51243"/>
    <w:rsid w:val="00F527FC"/>
    <w:rsid w:val="00F52B1F"/>
    <w:rsid w:val="00F567D8"/>
    <w:rsid w:val="00F569F6"/>
    <w:rsid w:val="00F60021"/>
    <w:rsid w:val="00F60C3C"/>
    <w:rsid w:val="00F63FC3"/>
    <w:rsid w:val="00F64267"/>
    <w:rsid w:val="00F646DB"/>
    <w:rsid w:val="00F6478A"/>
    <w:rsid w:val="00F65066"/>
    <w:rsid w:val="00F67259"/>
    <w:rsid w:val="00F72C94"/>
    <w:rsid w:val="00F733B5"/>
    <w:rsid w:val="00F73732"/>
    <w:rsid w:val="00F737CC"/>
    <w:rsid w:val="00F74F9C"/>
    <w:rsid w:val="00F7513A"/>
    <w:rsid w:val="00F7574B"/>
    <w:rsid w:val="00F759F1"/>
    <w:rsid w:val="00F75CD3"/>
    <w:rsid w:val="00F7672D"/>
    <w:rsid w:val="00F76DF4"/>
    <w:rsid w:val="00F77285"/>
    <w:rsid w:val="00F800D7"/>
    <w:rsid w:val="00F81775"/>
    <w:rsid w:val="00F82482"/>
    <w:rsid w:val="00F82C8C"/>
    <w:rsid w:val="00F84992"/>
    <w:rsid w:val="00F8528C"/>
    <w:rsid w:val="00F85E8A"/>
    <w:rsid w:val="00F86565"/>
    <w:rsid w:val="00F86985"/>
    <w:rsid w:val="00F86AE4"/>
    <w:rsid w:val="00F878E2"/>
    <w:rsid w:val="00F87C79"/>
    <w:rsid w:val="00F90960"/>
    <w:rsid w:val="00F93D5C"/>
    <w:rsid w:val="00F940E5"/>
    <w:rsid w:val="00F94583"/>
    <w:rsid w:val="00F94E4B"/>
    <w:rsid w:val="00F97EE6"/>
    <w:rsid w:val="00FA04A7"/>
    <w:rsid w:val="00FA0806"/>
    <w:rsid w:val="00FA11D9"/>
    <w:rsid w:val="00FA5D58"/>
    <w:rsid w:val="00FA6022"/>
    <w:rsid w:val="00FB1A62"/>
    <w:rsid w:val="00FB2EA5"/>
    <w:rsid w:val="00FB5242"/>
    <w:rsid w:val="00FB5475"/>
    <w:rsid w:val="00FB707F"/>
    <w:rsid w:val="00FB7C34"/>
    <w:rsid w:val="00FC00D4"/>
    <w:rsid w:val="00FC019E"/>
    <w:rsid w:val="00FC14D7"/>
    <w:rsid w:val="00FC48C7"/>
    <w:rsid w:val="00FC4B19"/>
    <w:rsid w:val="00FC4F22"/>
    <w:rsid w:val="00FC5EDF"/>
    <w:rsid w:val="00FC7AD8"/>
    <w:rsid w:val="00FD1D70"/>
    <w:rsid w:val="00FD4EF4"/>
    <w:rsid w:val="00FD5A4E"/>
    <w:rsid w:val="00FD620B"/>
    <w:rsid w:val="00FD6BF4"/>
    <w:rsid w:val="00FE21FC"/>
    <w:rsid w:val="00FE2E1F"/>
    <w:rsid w:val="00FE3099"/>
    <w:rsid w:val="00FE31E8"/>
    <w:rsid w:val="00FE3A93"/>
    <w:rsid w:val="00FE3EF2"/>
    <w:rsid w:val="00FE4983"/>
    <w:rsid w:val="00FE510E"/>
    <w:rsid w:val="00FE6A8D"/>
    <w:rsid w:val="00FF2DD6"/>
    <w:rsid w:val="00FF3572"/>
    <w:rsid w:val="00FF6A0D"/>
    <w:rsid w:val="0122529C"/>
    <w:rsid w:val="012F653A"/>
    <w:rsid w:val="01732866"/>
    <w:rsid w:val="019C1E43"/>
    <w:rsid w:val="01BA5354"/>
    <w:rsid w:val="01D42C7D"/>
    <w:rsid w:val="01E049A3"/>
    <w:rsid w:val="02050356"/>
    <w:rsid w:val="026117DE"/>
    <w:rsid w:val="0273635F"/>
    <w:rsid w:val="028D2630"/>
    <w:rsid w:val="0290266E"/>
    <w:rsid w:val="02C8229D"/>
    <w:rsid w:val="02CD6D3B"/>
    <w:rsid w:val="02E25DB5"/>
    <w:rsid w:val="02E30C60"/>
    <w:rsid w:val="03200295"/>
    <w:rsid w:val="03242EFE"/>
    <w:rsid w:val="038635B0"/>
    <w:rsid w:val="03BA0B1E"/>
    <w:rsid w:val="03C10FC5"/>
    <w:rsid w:val="03CF5E4B"/>
    <w:rsid w:val="047C498B"/>
    <w:rsid w:val="049F5620"/>
    <w:rsid w:val="04A5753F"/>
    <w:rsid w:val="04CA006A"/>
    <w:rsid w:val="04CC2506"/>
    <w:rsid w:val="04E17DA6"/>
    <w:rsid w:val="04FB65F3"/>
    <w:rsid w:val="05023FDC"/>
    <w:rsid w:val="0512745A"/>
    <w:rsid w:val="0571302A"/>
    <w:rsid w:val="05A90ADD"/>
    <w:rsid w:val="05B8737D"/>
    <w:rsid w:val="05BC53EA"/>
    <w:rsid w:val="05CE4FD2"/>
    <w:rsid w:val="05F77FB6"/>
    <w:rsid w:val="05FB0411"/>
    <w:rsid w:val="05FC7241"/>
    <w:rsid w:val="06623E36"/>
    <w:rsid w:val="06675138"/>
    <w:rsid w:val="066D1DCC"/>
    <w:rsid w:val="06D35242"/>
    <w:rsid w:val="06D63EA0"/>
    <w:rsid w:val="06E11454"/>
    <w:rsid w:val="06F12DC1"/>
    <w:rsid w:val="07047DFF"/>
    <w:rsid w:val="07302240"/>
    <w:rsid w:val="075849E4"/>
    <w:rsid w:val="0788352A"/>
    <w:rsid w:val="07977E87"/>
    <w:rsid w:val="07B15FEB"/>
    <w:rsid w:val="07B51763"/>
    <w:rsid w:val="07C34679"/>
    <w:rsid w:val="07D07F88"/>
    <w:rsid w:val="07DD1DB1"/>
    <w:rsid w:val="07E604A3"/>
    <w:rsid w:val="08277403"/>
    <w:rsid w:val="085936D3"/>
    <w:rsid w:val="08767CB7"/>
    <w:rsid w:val="08EA1265"/>
    <w:rsid w:val="08FC4534"/>
    <w:rsid w:val="09521106"/>
    <w:rsid w:val="09A73D3F"/>
    <w:rsid w:val="09BD281D"/>
    <w:rsid w:val="0A473463"/>
    <w:rsid w:val="0A79371E"/>
    <w:rsid w:val="0B062CD9"/>
    <w:rsid w:val="0B165180"/>
    <w:rsid w:val="0BA5732D"/>
    <w:rsid w:val="0BE254BB"/>
    <w:rsid w:val="0BF43856"/>
    <w:rsid w:val="0C106DE6"/>
    <w:rsid w:val="0C225054"/>
    <w:rsid w:val="0C2575F0"/>
    <w:rsid w:val="0C5F50DE"/>
    <w:rsid w:val="0CFD4EF6"/>
    <w:rsid w:val="0D0768A1"/>
    <w:rsid w:val="0D1067E1"/>
    <w:rsid w:val="0D3618C9"/>
    <w:rsid w:val="0D4861C9"/>
    <w:rsid w:val="0D4B462F"/>
    <w:rsid w:val="0D946F1C"/>
    <w:rsid w:val="0DAD574B"/>
    <w:rsid w:val="0DB9673F"/>
    <w:rsid w:val="0DDF46F8"/>
    <w:rsid w:val="0DFB4177"/>
    <w:rsid w:val="0DFC158E"/>
    <w:rsid w:val="0E0711F4"/>
    <w:rsid w:val="0E295CE0"/>
    <w:rsid w:val="0E5416C5"/>
    <w:rsid w:val="0E5B0F29"/>
    <w:rsid w:val="0EE83323"/>
    <w:rsid w:val="0EF13183"/>
    <w:rsid w:val="0EF645A0"/>
    <w:rsid w:val="0EFE409B"/>
    <w:rsid w:val="0F156105"/>
    <w:rsid w:val="0F235963"/>
    <w:rsid w:val="0F2708AA"/>
    <w:rsid w:val="0F4A7836"/>
    <w:rsid w:val="0F864D05"/>
    <w:rsid w:val="0F8D4E2B"/>
    <w:rsid w:val="0FDC1C6D"/>
    <w:rsid w:val="103E7FAD"/>
    <w:rsid w:val="104D1586"/>
    <w:rsid w:val="1056502F"/>
    <w:rsid w:val="105C39CB"/>
    <w:rsid w:val="10DE652B"/>
    <w:rsid w:val="10E71DA0"/>
    <w:rsid w:val="112602A2"/>
    <w:rsid w:val="11280B1C"/>
    <w:rsid w:val="11376F46"/>
    <w:rsid w:val="11433A5A"/>
    <w:rsid w:val="114E5EC4"/>
    <w:rsid w:val="11713662"/>
    <w:rsid w:val="11CD2CC4"/>
    <w:rsid w:val="120F5F2B"/>
    <w:rsid w:val="121378CB"/>
    <w:rsid w:val="12441D89"/>
    <w:rsid w:val="12551DD1"/>
    <w:rsid w:val="125602B5"/>
    <w:rsid w:val="1289010C"/>
    <w:rsid w:val="12A12278"/>
    <w:rsid w:val="12A83895"/>
    <w:rsid w:val="12FD0B88"/>
    <w:rsid w:val="12FE13F5"/>
    <w:rsid w:val="133258CE"/>
    <w:rsid w:val="1360451F"/>
    <w:rsid w:val="136C3A80"/>
    <w:rsid w:val="13776D02"/>
    <w:rsid w:val="13BA559C"/>
    <w:rsid w:val="13F55CBF"/>
    <w:rsid w:val="14572DC0"/>
    <w:rsid w:val="14787812"/>
    <w:rsid w:val="14EB6B49"/>
    <w:rsid w:val="14F20D21"/>
    <w:rsid w:val="150D4AD1"/>
    <w:rsid w:val="15237A5E"/>
    <w:rsid w:val="153E6BF4"/>
    <w:rsid w:val="155A5E40"/>
    <w:rsid w:val="156628FE"/>
    <w:rsid w:val="16442E4A"/>
    <w:rsid w:val="164B1F1A"/>
    <w:rsid w:val="165F1F3B"/>
    <w:rsid w:val="16653911"/>
    <w:rsid w:val="16812211"/>
    <w:rsid w:val="16975291"/>
    <w:rsid w:val="16EB36BD"/>
    <w:rsid w:val="16FB23A6"/>
    <w:rsid w:val="17040EB5"/>
    <w:rsid w:val="17095A57"/>
    <w:rsid w:val="170C25CA"/>
    <w:rsid w:val="17196035"/>
    <w:rsid w:val="172E642C"/>
    <w:rsid w:val="17546682"/>
    <w:rsid w:val="178F388B"/>
    <w:rsid w:val="17922E91"/>
    <w:rsid w:val="17AE67F6"/>
    <w:rsid w:val="17DE53C7"/>
    <w:rsid w:val="17F36A31"/>
    <w:rsid w:val="18592295"/>
    <w:rsid w:val="18613C12"/>
    <w:rsid w:val="18A30F3E"/>
    <w:rsid w:val="18BA3E1B"/>
    <w:rsid w:val="18D23E23"/>
    <w:rsid w:val="19674BBB"/>
    <w:rsid w:val="19817820"/>
    <w:rsid w:val="199C4FAA"/>
    <w:rsid w:val="19A45977"/>
    <w:rsid w:val="19FC1ACA"/>
    <w:rsid w:val="1A37693E"/>
    <w:rsid w:val="1A45132F"/>
    <w:rsid w:val="1A4A5089"/>
    <w:rsid w:val="1A4C059F"/>
    <w:rsid w:val="1A87775E"/>
    <w:rsid w:val="1A9066E0"/>
    <w:rsid w:val="1AAD75FE"/>
    <w:rsid w:val="1BB60381"/>
    <w:rsid w:val="1BCD1E3F"/>
    <w:rsid w:val="1BDA44C9"/>
    <w:rsid w:val="1C373FCB"/>
    <w:rsid w:val="1C434E46"/>
    <w:rsid w:val="1C4A53C9"/>
    <w:rsid w:val="1C7E5D6D"/>
    <w:rsid w:val="1CE02463"/>
    <w:rsid w:val="1CE41D01"/>
    <w:rsid w:val="1CF76466"/>
    <w:rsid w:val="1D3A2B7E"/>
    <w:rsid w:val="1D3D09F8"/>
    <w:rsid w:val="1D545270"/>
    <w:rsid w:val="1D67721F"/>
    <w:rsid w:val="1D6F05C2"/>
    <w:rsid w:val="1D845E8E"/>
    <w:rsid w:val="1DB568D6"/>
    <w:rsid w:val="1DC44199"/>
    <w:rsid w:val="1DD2018A"/>
    <w:rsid w:val="1DEF7E97"/>
    <w:rsid w:val="1E067299"/>
    <w:rsid w:val="1E0C7C75"/>
    <w:rsid w:val="1E831AEF"/>
    <w:rsid w:val="1E8D6E7C"/>
    <w:rsid w:val="1F057911"/>
    <w:rsid w:val="1F1C6416"/>
    <w:rsid w:val="1F5331AE"/>
    <w:rsid w:val="1F614E41"/>
    <w:rsid w:val="1F640E97"/>
    <w:rsid w:val="1F904EB4"/>
    <w:rsid w:val="1FCE6C7F"/>
    <w:rsid w:val="1FE30889"/>
    <w:rsid w:val="1FF11C57"/>
    <w:rsid w:val="203329CD"/>
    <w:rsid w:val="20715AAF"/>
    <w:rsid w:val="20834026"/>
    <w:rsid w:val="213A494F"/>
    <w:rsid w:val="214F1F1D"/>
    <w:rsid w:val="215240CB"/>
    <w:rsid w:val="2188778C"/>
    <w:rsid w:val="218E2372"/>
    <w:rsid w:val="21921A0F"/>
    <w:rsid w:val="21ED6476"/>
    <w:rsid w:val="22120532"/>
    <w:rsid w:val="223E7844"/>
    <w:rsid w:val="22434D5C"/>
    <w:rsid w:val="22590643"/>
    <w:rsid w:val="226A4C31"/>
    <w:rsid w:val="22C37268"/>
    <w:rsid w:val="22D20A08"/>
    <w:rsid w:val="22D402FC"/>
    <w:rsid w:val="22D724A9"/>
    <w:rsid w:val="230164E4"/>
    <w:rsid w:val="232E268B"/>
    <w:rsid w:val="233E0991"/>
    <w:rsid w:val="237D2073"/>
    <w:rsid w:val="23987171"/>
    <w:rsid w:val="23C245F9"/>
    <w:rsid w:val="23D6098C"/>
    <w:rsid w:val="23EE6267"/>
    <w:rsid w:val="240628E9"/>
    <w:rsid w:val="242527F6"/>
    <w:rsid w:val="24270B26"/>
    <w:rsid w:val="2432352D"/>
    <w:rsid w:val="24B00F26"/>
    <w:rsid w:val="24D46A1F"/>
    <w:rsid w:val="24EC72D5"/>
    <w:rsid w:val="251B2C17"/>
    <w:rsid w:val="25591B81"/>
    <w:rsid w:val="259F55D2"/>
    <w:rsid w:val="260C66B5"/>
    <w:rsid w:val="2619439D"/>
    <w:rsid w:val="263A39CF"/>
    <w:rsid w:val="26590E4C"/>
    <w:rsid w:val="26731DA1"/>
    <w:rsid w:val="268D18BC"/>
    <w:rsid w:val="26D54803"/>
    <w:rsid w:val="26F24C8B"/>
    <w:rsid w:val="26F82606"/>
    <w:rsid w:val="270D0D98"/>
    <w:rsid w:val="272B7390"/>
    <w:rsid w:val="274B1D04"/>
    <w:rsid w:val="27666785"/>
    <w:rsid w:val="27955621"/>
    <w:rsid w:val="27A10D5C"/>
    <w:rsid w:val="27A6668F"/>
    <w:rsid w:val="27A831DA"/>
    <w:rsid w:val="27BC0CF9"/>
    <w:rsid w:val="27CE48D0"/>
    <w:rsid w:val="27D91A9F"/>
    <w:rsid w:val="286766E4"/>
    <w:rsid w:val="28780AA8"/>
    <w:rsid w:val="288538E0"/>
    <w:rsid w:val="28B25465"/>
    <w:rsid w:val="28D81911"/>
    <w:rsid w:val="291A06DD"/>
    <w:rsid w:val="298C62B1"/>
    <w:rsid w:val="2A155345"/>
    <w:rsid w:val="2A173FA7"/>
    <w:rsid w:val="2A1918F8"/>
    <w:rsid w:val="2A4247DA"/>
    <w:rsid w:val="2A54165B"/>
    <w:rsid w:val="2A550D9E"/>
    <w:rsid w:val="2A6F775B"/>
    <w:rsid w:val="2A737306"/>
    <w:rsid w:val="2A7B30FE"/>
    <w:rsid w:val="2AB31AE1"/>
    <w:rsid w:val="2ACD656D"/>
    <w:rsid w:val="2AFD72B9"/>
    <w:rsid w:val="2B095172"/>
    <w:rsid w:val="2B333424"/>
    <w:rsid w:val="2B4F2EE3"/>
    <w:rsid w:val="2B6C27B9"/>
    <w:rsid w:val="2BB06E96"/>
    <w:rsid w:val="2C090FE8"/>
    <w:rsid w:val="2C2A429A"/>
    <w:rsid w:val="2C8D7E9A"/>
    <w:rsid w:val="2CAB5719"/>
    <w:rsid w:val="2CE63FAE"/>
    <w:rsid w:val="2D0B680A"/>
    <w:rsid w:val="2D127131"/>
    <w:rsid w:val="2D1E5FF6"/>
    <w:rsid w:val="2D39592C"/>
    <w:rsid w:val="2D4B6E04"/>
    <w:rsid w:val="2D912CCB"/>
    <w:rsid w:val="2DAB5A86"/>
    <w:rsid w:val="2DD52983"/>
    <w:rsid w:val="2E363BE7"/>
    <w:rsid w:val="2E3F7E5E"/>
    <w:rsid w:val="2E5A2A3F"/>
    <w:rsid w:val="2E636B77"/>
    <w:rsid w:val="2E781EF2"/>
    <w:rsid w:val="2EB15996"/>
    <w:rsid w:val="2EBB1918"/>
    <w:rsid w:val="2ED67CE8"/>
    <w:rsid w:val="2EFB558E"/>
    <w:rsid w:val="2F0C712D"/>
    <w:rsid w:val="2F1967E0"/>
    <w:rsid w:val="2F394D84"/>
    <w:rsid w:val="2F5F349A"/>
    <w:rsid w:val="2F644883"/>
    <w:rsid w:val="2FAA14E7"/>
    <w:rsid w:val="2FB36522"/>
    <w:rsid w:val="30504163"/>
    <w:rsid w:val="30645601"/>
    <w:rsid w:val="306B3335"/>
    <w:rsid w:val="309131D3"/>
    <w:rsid w:val="30C270FF"/>
    <w:rsid w:val="310444A3"/>
    <w:rsid w:val="313C37AB"/>
    <w:rsid w:val="316E4257"/>
    <w:rsid w:val="319D68B8"/>
    <w:rsid w:val="31AC1547"/>
    <w:rsid w:val="31C60A97"/>
    <w:rsid w:val="32035F7D"/>
    <w:rsid w:val="321D4EAF"/>
    <w:rsid w:val="325C303E"/>
    <w:rsid w:val="3294454D"/>
    <w:rsid w:val="329C6225"/>
    <w:rsid w:val="32E648D8"/>
    <w:rsid w:val="331A5C1C"/>
    <w:rsid w:val="33266F01"/>
    <w:rsid w:val="332D391C"/>
    <w:rsid w:val="333219E6"/>
    <w:rsid w:val="336D0320"/>
    <w:rsid w:val="33885297"/>
    <w:rsid w:val="33B645E2"/>
    <w:rsid w:val="33BF6CF0"/>
    <w:rsid w:val="33C7114C"/>
    <w:rsid w:val="33F853C2"/>
    <w:rsid w:val="3424559A"/>
    <w:rsid w:val="348E14A3"/>
    <w:rsid w:val="34AB6268"/>
    <w:rsid w:val="34B53FF3"/>
    <w:rsid w:val="351E04F5"/>
    <w:rsid w:val="35607CA6"/>
    <w:rsid w:val="35A52C5C"/>
    <w:rsid w:val="35D05265"/>
    <w:rsid w:val="3624388C"/>
    <w:rsid w:val="36A7403C"/>
    <w:rsid w:val="36BB5FB7"/>
    <w:rsid w:val="37081AA3"/>
    <w:rsid w:val="3747333B"/>
    <w:rsid w:val="375B5AF9"/>
    <w:rsid w:val="377F033F"/>
    <w:rsid w:val="37D74C8D"/>
    <w:rsid w:val="37F73375"/>
    <w:rsid w:val="38133542"/>
    <w:rsid w:val="382201B3"/>
    <w:rsid w:val="384D64B5"/>
    <w:rsid w:val="387656AC"/>
    <w:rsid w:val="38846323"/>
    <w:rsid w:val="38926BFE"/>
    <w:rsid w:val="38B54ECB"/>
    <w:rsid w:val="38D00A74"/>
    <w:rsid w:val="390F5CA4"/>
    <w:rsid w:val="39573A89"/>
    <w:rsid w:val="396114CC"/>
    <w:rsid w:val="397E6A4F"/>
    <w:rsid w:val="398513BC"/>
    <w:rsid w:val="399934CC"/>
    <w:rsid w:val="39C4260D"/>
    <w:rsid w:val="39CD08CE"/>
    <w:rsid w:val="39CD0CF6"/>
    <w:rsid w:val="39D56CB3"/>
    <w:rsid w:val="3A195335"/>
    <w:rsid w:val="3A44537C"/>
    <w:rsid w:val="3A541B29"/>
    <w:rsid w:val="3A6D66F0"/>
    <w:rsid w:val="3A8D3303"/>
    <w:rsid w:val="3A9B4B9B"/>
    <w:rsid w:val="3AA350D6"/>
    <w:rsid w:val="3AAD3535"/>
    <w:rsid w:val="3AB15248"/>
    <w:rsid w:val="3AED48E7"/>
    <w:rsid w:val="3B0246E0"/>
    <w:rsid w:val="3B0F4A23"/>
    <w:rsid w:val="3B103BFB"/>
    <w:rsid w:val="3B34348E"/>
    <w:rsid w:val="3B7C7689"/>
    <w:rsid w:val="3B93532B"/>
    <w:rsid w:val="3C413159"/>
    <w:rsid w:val="3C442E3A"/>
    <w:rsid w:val="3C47508C"/>
    <w:rsid w:val="3C7C5161"/>
    <w:rsid w:val="3C822127"/>
    <w:rsid w:val="3D5C2B92"/>
    <w:rsid w:val="3D9F2EDD"/>
    <w:rsid w:val="3DC64DFA"/>
    <w:rsid w:val="3E992908"/>
    <w:rsid w:val="3EA32667"/>
    <w:rsid w:val="3ED46035"/>
    <w:rsid w:val="3EE446D0"/>
    <w:rsid w:val="3F045795"/>
    <w:rsid w:val="3F0F4401"/>
    <w:rsid w:val="3F454161"/>
    <w:rsid w:val="3F650535"/>
    <w:rsid w:val="3F6E56CB"/>
    <w:rsid w:val="3FA24C30"/>
    <w:rsid w:val="3FF91AA4"/>
    <w:rsid w:val="400D3876"/>
    <w:rsid w:val="40415DE2"/>
    <w:rsid w:val="4050576F"/>
    <w:rsid w:val="40742B57"/>
    <w:rsid w:val="40801961"/>
    <w:rsid w:val="40864997"/>
    <w:rsid w:val="40A35119"/>
    <w:rsid w:val="40E2489F"/>
    <w:rsid w:val="40F77B80"/>
    <w:rsid w:val="4120166C"/>
    <w:rsid w:val="41335CF0"/>
    <w:rsid w:val="41453C8F"/>
    <w:rsid w:val="414756A0"/>
    <w:rsid w:val="419854ED"/>
    <w:rsid w:val="41AB0A42"/>
    <w:rsid w:val="41BC3913"/>
    <w:rsid w:val="42274827"/>
    <w:rsid w:val="42333613"/>
    <w:rsid w:val="4285053C"/>
    <w:rsid w:val="42D01C85"/>
    <w:rsid w:val="42E61FC6"/>
    <w:rsid w:val="431F6F07"/>
    <w:rsid w:val="432D0575"/>
    <w:rsid w:val="43B7529F"/>
    <w:rsid w:val="43F17A30"/>
    <w:rsid w:val="43F44F91"/>
    <w:rsid w:val="44881190"/>
    <w:rsid w:val="44A96C67"/>
    <w:rsid w:val="45866DBE"/>
    <w:rsid w:val="458C7B99"/>
    <w:rsid w:val="45FE550D"/>
    <w:rsid w:val="46481BB4"/>
    <w:rsid w:val="466B73FB"/>
    <w:rsid w:val="46C422B2"/>
    <w:rsid w:val="46DE757E"/>
    <w:rsid w:val="46F001F6"/>
    <w:rsid w:val="472E597E"/>
    <w:rsid w:val="478671B1"/>
    <w:rsid w:val="479D5722"/>
    <w:rsid w:val="47A81FB2"/>
    <w:rsid w:val="47A90E82"/>
    <w:rsid w:val="47F04B43"/>
    <w:rsid w:val="480C774C"/>
    <w:rsid w:val="483E069D"/>
    <w:rsid w:val="48453F09"/>
    <w:rsid w:val="48771E8E"/>
    <w:rsid w:val="489173A3"/>
    <w:rsid w:val="48B11D7B"/>
    <w:rsid w:val="48EC583F"/>
    <w:rsid w:val="493F6D16"/>
    <w:rsid w:val="49875D0B"/>
    <w:rsid w:val="49D12A69"/>
    <w:rsid w:val="49E2711E"/>
    <w:rsid w:val="49F32099"/>
    <w:rsid w:val="4A095D38"/>
    <w:rsid w:val="4A5D7E8E"/>
    <w:rsid w:val="4A7532B4"/>
    <w:rsid w:val="4A7B7623"/>
    <w:rsid w:val="4A990A95"/>
    <w:rsid w:val="4A9D11EE"/>
    <w:rsid w:val="4B3A2148"/>
    <w:rsid w:val="4B4F4C5F"/>
    <w:rsid w:val="4B5A2AF7"/>
    <w:rsid w:val="4B682F6C"/>
    <w:rsid w:val="4B694515"/>
    <w:rsid w:val="4B784F02"/>
    <w:rsid w:val="4B7F3000"/>
    <w:rsid w:val="4B83021E"/>
    <w:rsid w:val="4B971B7C"/>
    <w:rsid w:val="4C18596C"/>
    <w:rsid w:val="4C217631"/>
    <w:rsid w:val="4C371FA0"/>
    <w:rsid w:val="4C3F5C06"/>
    <w:rsid w:val="4C712A87"/>
    <w:rsid w:val="4CAB45AD"/>
    <w:rsid w:val="4CEB7BBB"/>
    <w:rsid w:val="4CF90CD7"/>
    <w:rsid w:val="4D4D1D18"/>
    <w:rsid w:val="4D646055"/>
    <w:rsid w:val="4D865120"/>
    <w:rsid w:val="4DA97FC4"/>
    <w:rsid w:val="4DD0306A"/>
    <w:rsid w:val="4E0A3F2F"/>
    <w:rsid w:val="4E155188"/>
    <w:rsid w:val="4E215C75"/>
    <w:rsid w:val="4EBB3F9B"/>
    <w:rsid w:val="4EF32ECE"/>
    <w:rsid w:val="4EFB4B74"/>
    <w:rsid w:val="4F4330EC"/>
    <w:rsid w:val="4FFA529B"/>
    <w:rsid w:val="50695554"/>
    <w:rsid w:val="50AA6C07"/>
    <w:rsid w:val="50AD7DA4"/>
    <w:rsid w:val="50BA5154"/>
    <w:rsid w:val="50DD2157"/>
    <w:rsid w:val="51130D4B"/>
    <w:rsid w:val="51397F23"/>
    <w:rsid w:val="515C5E28"/>
    <w:rsid w:val="516F13BA"/>
    <w:rsid w:val="519733BF"/>
    <w:rsid w:val="51C02CB5"/>
    <w:rsid w:val="51ED3749"/>
    <w:rsid w:val="52071FCD"/>
    <w:rsid w:val="5209453E"/>
    <w:rsid w:val="52174711"/>
    <w:rsid w:val="52616BF3"/>
    <w:rsid w:val="526A44FC"/>
    <w:rsid w:val="526C1FF3"/>
    <w:rsid w:val="5276213D"/>
    <w:rsid w:val="52865C31"/>
    <w:rsid w:val="53042F4D"/>
    <w:rsid w:val="5307119C"/>
    <w:rsid w:val="53325B90"/>
    <w:rsid w:val="536E33AD"/>
    <w:rsid w:val="538D2109"/>
    <w:rsid w:val="53985E3D"/>
    <w:rsid w:val="53A2110F"/>
    <w:rsid w:val="53BA320D"/>
    <w:rsid w:val="54037C36"/>
    <w:rsid w:val="542309C8"/>
    <w:rsid w:val="543A48A3"/>
    <w:rsid w:val="54507729"/>
    <w:rsid w:val="54754715"/>
    <w:rsid w:val="54762BF2"/>
    <w:rsid w:val="549A222A"/>
    <w:rsid w:val="54A70ED4"/>
    <w:rsid w:val="54BD3679"/>
    <w:rsid w:val="54CA0617"/>
    <w:rsid w:val="54EA0E86"/>
    <w:rsid w:val="54EC75A4"/>
    <w:rsid w:val="54FD5038"/>
    <w:rsid w:val="55237322"/>
    <w:rsid w:val="55483638"/>
    <w:rsid w:val="55A07087"/>
    <w:rsid w:val="55C00887"/>
    <w:rsid w:val="55DD018B"/>
    <w:rsid w:val="55E26A1F"/>
    <w:rsid w:val="55F37050"/>
    <w:rsid w:val="56353298"/>
    <w:rsid w:val="565460FF"/>
    <w:rsid w:val="56575158"/>
    <w:rsid w:val="56674A08"/>
    <w:rsid w:val="56A7783A"/>
    <w:rsid w:val="56AF5345"/>
    <w:rsid w:val="571A5521"/>
    <w:rsid w:val="57881BC6"/>
    <w:rsid w:val="578C70B7"/>
    <w:rsid w:val="57A81AE1"/>
    <w:rsid w:val="57B641B5"/>
    <w:rsid w:val="57E846C5"/>
    <w:rsid w:val="5800058A"/>
    <w:rsid w:val="58085F05"/>
    <w:rsid w:val="58241620"/>
    <w:rsid w:val="58892D3B"/>
    <w:rsid w:val="589A41C6"/>
    <w:rsid w:val="58ED46D8"/>
    <w:rsid w:val="59147DB3"/>
    <w:rsid w:val="5917019C"/>
    <w:rsid w:val="595E3A7D"/>
    <w:rsid w:val="59912369"/>
    <w:rsid w:val="59AA75C6"/>
    <w:rsid w:val="59AC371D"/>
    <w:rsid w:val="59AD307A"/>
    <w:rsid w:val="59AD357B"/>
    <w:rsid w:val="59E57F5B"/>
    <w:rsid w:val="59EB0F89"/>
    <w:rsid w:val="5A3E40F8"/>
    <w:rsid w:val="5A725A5F"/>
    <w:rsid w:val="5A812DEA"/>
    <w:rsid w:val="5A8D5661"/>
    <w:rsid w:val="5AC41924"/>
    <w:rsid w:val="5AC8016B"/>
    <w:rsid w:val="5AD85EBF"/>
    <w:rsid w:val="5B3470DA"/>
    <w:rsid w:val="5B5669D6"/>
    <w:rsid w:val="5BA924BC"/>
    <w:rsid w:val="5BAA3522"/>
    <w:rsid w:val="5C042A8D"/>
    <w:rsid w:val="5C3259EE"/>
    <w:rsid w:val="5C3B151F"/>
    <w:rsid w:val="5C4900C4"/>
    <w:rsid w:val="5C8C341B"/>
    <w:rsid w:val="5CB42AE7"/>
    <w:rsid w:val="5CB67A7F"/>
    <w:rsid w:val="5CC0558A"/>
    <w:rsid w:val="5CD51979"/>
    <w:rsid w:val="5CF77E79"/>
    <w:rsid w:val="5D062391"/>
    <w:rsid w:val="5D331F4C"/>
    <w:rsid w:val="5D597EB7"/>
    <w:rsid w:val="5E083635"/>
    <w:rsid w:val="5E4907E6"/>
    <w:rsid w:val="5E9A74A0"/>
    <w:rsid w:val="5EA204ED"/>
    <w:rsid w:val="5ED655A5"/>
    <w:rsid w:val="5EE45C5B"/>
    <w:rsid w:val="5F49604B"/>
    <w:rsid w:val="5F5D62E7"/>
    <w:rsid w:val="5F723C49"/>
    <w:rsid w:val="5FD4310E"/>
    <w:rsid w:val="600B4656"/>
    <w:rsid w:val="6040150D"/>
    <w:rsid w:val="60455C7E"/>
    <w:rsid w:val="605E0DAD"/>
    <w:rsid w:val="6066433D"/>
    <w:rsid w:val="60705110"/>
    <w:rsid w:val="607720E9"/>
    <w:rsid w:val="607A026D"/>
    <w:rsid w:val="60A554B3"/>
    <w:rsid w:val="60BD3BA3"/>
    <w:rsid w:val="610C4FB2"/>
    <w:rsid w:val="615370FF"/>
    <w:rsid w:val="61583846"/>
    <w:rsid w:val="61C91196"/>
    <w:rsid w:val="61F909CE"/>
    <w:rsid w:val="620A3F82"/>
    <w:rsid w:val="62135E9B"/>
    <w:rsid w:val="62214605"/>
    <w:rsid w:val="623303BA"/>
    <w:rsid w:val="62340817"/>
    <w:rsid w:val="6240635C"/>
    <w:rsid w:val="624F6BEA"/>
    <w:rsid w:val="6283266F"/>
    <w:rsid w:val="62B84FD9"/>
    <w:rsid w:val="62D12C3D"/>
    <w:rsid w:val="631F2373"/>
    <w:rsid w:val="63442EFE"/>
    <w:rsid w:val="634C2C92"/>
    <w:rsid w:val="63844104"/>
    <w:rsid w:val="63A8296E"/>
    <w:rsid w:val="63C94F54"/>
    <w:rsid w:val="64233F57"/>
    <w:rsid w:val="64594BBB"/>
    <w:rsid w:val="645A1C84"/>
    <w:rsid w:val="645E4D6C"/>
    <w:rsid w:val="6488406B"/>
    <w:rsid w:val="64AB79E5"/>
    <w:rsid w:val="64B259E8"/>
    <w:rsid w:val="64D353BF"/>
    <w:rsid w:val="6502647F"/>
    <w:rsid w:val="652341F0"/>
    <w:rsid w:val="65293507"/>
    <w:rsid w:val="65307C34"/>
    <w:rsid w:val="653802FE"/>
    <w:rsid w:val="6548459E"/>
    <w:rsid w:val="654D1161"/>
    <w:rsid w:val="65742B7C"/>
    <w:rsid w:val="65A80F15"/>
    <w:rsid w:val="65A96DEB"/>
    <w:rsid w:val="65CA6B89"/>
    <w:rsid w:val="65D60872"/>
    <w:rsid w:val="65E27FB4"/>
    <w:rsid w:val="6601141B"/>
    <w:rsid w:val="662F075A"/>
    <w:rsid w:val="665436C7"/>
    <w:rsid w:val="6681231C"/>
    <w:rsid w:val="670F3085"/>
    <w:rsid w:val="671E34E4"/>
    <w:rsid w:val="672C679C"/>
    <w:rsid w:val="6730650C"/>
    <w:rsid w:val="6750416C"/>
    <w:rsid w:val="68212B7B"/>
    <w:rsid w:val="684D7D9C"/>
    <w:rsid w:val="68607599"/>
    <w:rsid w:val="68617509"/>
    <w:rsid w:val="687A1611"/>
    <w:rsid w:val="69105353"/>
    <w:rsid w:val="69375785"/>
    <w:rsid w:val="694A2AA5"/>
    <w:rsid w:val="695F56EE"/>
    <w:rsid w:val="69C1258B"/>
    <w:rsid w:val="69DD167B"/>
    <w:rsid w:val="69DF2212"/>
    <w:rsid w:val="6A370475"/>
    <w:rsid w:val="6A557EBA"/>
    <w:rsid w:val="6A615EE7"/>
    <w:rsid w:val="6AB5426E"/>
    <w:rsid w:val="6AD15F01"/>
    <w:rsid w:val="6B507286"/>
    <w:rsid w:val="6B735901"/>
    <w:rsid w:val="6B9A4C11"/>
    <w:rsid w:val="6BAD75CC"/>
    <w:rsid w:val="6C021214"/>
    <w:rsid w:val="6C1113D1"/>
    <w:rsid w:val="6C1F0694"/>
    <w:rsid w:val="6C672733"/>
    <w:rsid w:val="6C785D88"/>
    <w:rsid w:val="6CC271F3"/>
    <w:rsid w:val="6CCE4455"/>
    <w:rsid w:val="6CCF691E"/>
    <w:rsid w:val="6D08089B"/>
    <w:rsid w:val="6D3A3FBC"/>
    <w:rsid w:val="6D47746A"/>
    <w:rsid w:val="6D8D3F5C"/>
    <w:rsid w:val="6DFB7E79"/>
    <w:rsid w:val="6E06181C"/>
    <w:rsid w:val="6E0D7FE4"/>
    <w:rsid w:val="6E1B2921"/>
    <w:rsid w:val="6E645780"/>
    <w:rsid w:val="6EAC191A"/>
    <w:rsid w:val="6F1A6FFF"/>
    <w:rsid w:val="6FB1348D"/>
    <w:rsid w:val="6FBD4CDE"/>
    <w:rsid w:val="6FC7059A"/>
    <w:rsid w:val="6FD6055A"/>
    <w:rsid w:val="702411E1"/>
    <w:rsid w:val="70466444"/>
    <w:rsid w:val="70564A79"/>
    <w:rsid w:val="70B55AF5"/>
    <w:rsid w:val="70B84386"/>
    <w:rsid w:val="70F078F8"/>
    <w:rsid w:val="70F7175E"/>
    <w:rsid w:val="71005898"/>
    <w:rsid w:val="71012B16"/>
    <w:rsid w:val="71176909"/>
    <w:rsid w:val="712C339D"/>
    <w:rsid w:val="71364A63"/>
    <w:rsid w:val="713C646D"/>
    <w:rsid w:val="71807872"/>
    <w:rsid w:val="71C035E4"/>
    <w:rsid w:val="71F373BC"/>
    <w:rsid w:val="72062E95"/>
    <w:rsid w:val="72586F54"/>
    <w:rsid w:val="726A7CC7"/>
    <w:rsid w:val="726E45A6"/>
    <w:rsid w:val="729D32AA"/>
    <w:rsid w:val="72EF2C13"/>
    <w:rsid w:val="7318268D"/>
    <w:rsid w:val="7331658E"/>
    <w:rsid w:val="737E2DE8"/>
    <w:rsid w:val="73ED09E8"/>
    <w:rsid w:val="73FB4803"/>
    <w:rsid w:val="740E5829"/>
    <w:rsid w:val="740F5AC1"/>
    <w:rsid w:val="741C332E"/>
    <w:rsid w:val="743B7AC2"/>
    <w:rsid w:val="74703282"/>
    <w:rsid w:val="74B52DC4"/>
    <w:rsid w:val="74EA168A"/>
    <w:rsid w:val="75703A9C"/>
    <w:rsid w:val="75FE1A6E"/>
    <w:rsid w:val="760C70BC"/>
    <w:rsid w:val="769F4F5A"/>
    <w:rsid w:val="76AF41E6"/>
    <w:rsid w:val="76E43105"/>
    <w:rsid w:val="7708481E"/>
    <w:rsid w:val="770F531C"/>
    <w:rsid w:val="773F38CD"/>
    <w:rsid w:val="779427CE"/>
    <w:rsid w:val="77EF3B47"/>
    <w:rsid w:val="77F453E9"/>
    <w:rsid w:val="78973B82"/>
    <w:rsid w:val="789A0867"/>
    <w:rsid w:val="789F26BF"/>
    <w:rsid w:val="78BC253A"/>
    <w:rsid w:val="78CF1DDC"/>
    <w:rsid w:val="78D2453A"/>
    <w:rsid w:val="78FF7A1B"/>
    <w:rsid w:val="790D384E"/>
    <w:rsid w:val="79E11E15"/>
    <w:rsid w:val="7A0348D0"/>
    <w:rsid w:val="7A0D5EC0"/>
    <w:rsid w:val="7A373D73"/>
    <w:rsid w:val="7A6A041E"/>
    <w:rsid w:val="7A97342B"/>
    <w:rsid w:val="7ACE1D25"/>
    <w:rsid w:val="7B2A3E05"/>
    <w:rsid w:val="7B374C0F"/>
    <w:rsid w:val="7B4676A7"/>
    <w:rsid w:val="7B4D792A"/>
    <w:rsid w:val="7BBD5B33"/>
    <w:rsid w:val="7BC16990"/>
    <w:rsid w:val="7C5D6A6A"/>
    <w:rsid w:val="7C6E4785"/>
    <w:rsid w:val="7C7F2B11"/>
    <w:rsid w:val="7C901FFE"/>
    <w:rsid w:val="7CB1685A"/>
    <w:rsid w:val="7CDC3977"/>
    <w:rsid w:val="7CE816F1"/>
    <w:rsid w:val="7D7C3287"/>
    <w:rsid w:val="7D8203E2"/>
    <w:rsid w:val="7D84585C"/>
    <w:rsid w:val="7DC178D1"/>
    <w:rsid w:val="7DF033D3"/>
    <w:rsid w:val="7E1224C7"/>
    <w:rsid w:val="7E13044C"/>
    <w:rsid w:val="7E497D5A"/>
    <w:rsid w:val="7EA513A4"/>
    <w:rsid w:val="7EB845D5"/>
    <w:rsid w:val="7F0326C5"/>
    <w:rsid w:val="7F053DC3"/>
    <w:rsid w:val="7F0B0939"/>
    <w:rsid w:val="7F1F16D4"/>
    <w:rsid w:val="7F860C12"/>
    <w:rsid w:val="7F986441"/>
    <w:rsid w:val="7FA8310D"/>
    <w:rsid w:val="7FC04307"/>
    <w:rsid w:val="7FE945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微软雅黑" w:eastAsia="等线" w:cs="Times New Roman"/>
      <w:kern w:val="2"/>
      <w:sz w:val="21"/>
      <w:szCs w:val="22"/>
      <w:lang w:val="en-US" w:eastAsia="zh-CN" w:bidi="ar-SA"/>
    </w:rPr>
  </w:style>
  <w:style w:type="paragraph" w:styleId="2">
    <w:name w:val="heading 1"/>
    <w:basedOn w:val="1"/>
    <w:next w:val="1"/>
    <w:link w:val="51"/>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48"/>
    <w:unhideWhenUsed/>
    <w:qFormat/>
    <w:uiPriority w:val="9"/>
    <w:pPr>
      <w:autoSpaceDE w:val="0"/>
      <w:autoSpaceDN w:val="0"/>
      <w:spacing w:before="37"/>
      <w:ind w:left="973" w:hanging="434"/>
      <w:jc w:val="left"/>
      <w:outlineLvl w:val="1"/>
    </w:pPr>
    <w:rPr>
      <w:rFonts w:cs="微软雅黑"/>
      <w:b/>
      <w:bCs/>
      <w:kern w:val="0"/>
      <w:sz w:val="24"/>
      <w:szCs w:val="24"/>
    </w:rPr>
  </w:style>
  <w:style w:type="paragraph" w:styleId="4">
    <w:name w:val="heading 3"/>
    <w:basedOn w:val="1"/>
    <w:next w:val="1"/>
    <w:link w:val="72"/>
    <w:semiHidden/>
    <w:unhideWhenUsed/>
    <w:qFormat/>
    <w:uiPriority w:val="9"/>
    <w:pPr>
      <w:keepNext/>
      <w:keepLines/>
      <w:spacing w:before="260" w:after="260" w:line="416" w:lineRule="auto"/>
      <w:outlineLvl w:val="2"/>
    </w:pPr>
    <w:rPr>
      <w:b/>
      <w:bCs/>
      <w:sz w:val="32"/>
      <w:szCs w:val="32"/>
    </w:rPr>
  </w:style>
  <w:style w:type="character" w:default="1" w:styleId="22">
    <w:name w:val="Default Paragraph Font"/>
    <w:semiHidden/>
    <w:unhideWhenUsed/>
    <w:qFormat/>
    <w:uiPriority w:val="1"/>
  </w:style>
  <w:style w:type="table" w:default="1" w:styleId="20">
    <w:name w:val="Normal Table"/>
    <w:semiHidden/>
    <w:unhideWhenUsed/>
    <w:qFormat/>
    <w:uiPriority w:val="99"/>
    <w:tblPr>
      <w:tblCellMar>
        <w:top w:w="0" w:type="dxa"/>
        <w:left w:w="108" w:type="dxa"/>
        <w:bottom w:w="0" w:type="dxa"/>
        <w:right w:w="108" w:type="dxa"/>
      </w:tblCellMar>
    </w:tblPr>
  </w:style>
  <w:style w:type="paragraph" w:styleId="5">
    <w:name w:val="toc 7"/>
    <w:basedOn w:val="1"/>
    <w:next w:val="1"/>
    <w:unhideWhenUsed/>
    <w:qFormat/>
    <w:uiPriority w:val="39"/>
    <w:pPr>
      <w:ind w:left="1260"/>
      <w:jc w:val="left"/>
    </w:pPr>
    <w:rPr>
      <w:rFonts w:asciiTheme="minorHAnsi" w:eastAsiaTheme="minorHAnsi"/>
      <w:sz w:val="20"/>
      <w:szCs w:val="20"/>
    </w:rPr>
  </w:style>
  <w:style w:type="paragraph" w:styleId="6">
    <w:name w:val="annotation text"/>
    <w:basedOn w:val="1"/>
    <w:link w:val="39"/>
    <w:semiHidden/>
    <w:unhideWhenUsed/>
    <w:qFormat/>
    <w:uiPriority w:val="99"/>
    <w:pPr>
      <w:jc w:val="left"/>
    </w:pPr>
  </w:style>
  <w:style w:type="paragraph" w:styleId="7">
    <w:name w:val="toc 5"/>
    <w:basedOn w:val="1"/>
    <w:next w:val="1"/>
    <w:unhideWhenUsed/>
    <w:qFormat/>
    <w:uiPriority w:val="39"/>
    <w:pPr>
      <w:ind w:left="840"/>
      <w:jc w:val="left"/>
    </w:pPr>
    <w:rPr>
      <w:rFonts w:asciiTheme="minorHAnsi" w:eastAsiaTheme="minorHAnsi"/>
      <w:sz w:val="20"/>
      <w:szCs w:val="20"/>
    </w:rPr>
  </w:style>
  <w:style w:type="paragraph" w:styleId="8">
    <w:name w:val="toc 3"/>
    <w:basedOn w:val="1"/>
    <w:next w:val="1"/>
    <w:unhideWhenUsed/>
    <w:qFormat/>
    <w:uiPriority w:val="39"/>
    <w:pPr>
      <w:ind w:left="420"/>
      <w:jc w:val="left"/>
    </w:pPr>
    <w:rPr>
      <w:rFonts w:asciiTheme="minorHAnsi" w:eastAsiaTheme="minorHAnsi"/>
      <w:sz w:val="20"/>
      <w:szCs w:val="20"/>
    </w:rPr>
  </w:style>
  <w:style w:type="paragraph" w:styleId="9">
    <w:name w:val="toc 8"/>
    <w:basedOn w:val="1"/>
    <w:next w:val="1"/>
    <w:unhideWhenUsed/>
    <w:qFormat/>
    <w:uiPriority w:val="39"/>
    <w:pPr>
      <w:ind w:left="1470"/>
      <w:jc w:val="left"/>
    </w:pPr>
    <w:rPr>
      <w:rFonts w:asciiTheme="minorHAnsi" w:eastAsiaTheme="minorHAnsi"/>
      <w:sz w:val="20"/>
      <w:szCs w:val="20"/>
    </w:rPr>
  </w:style>
  <w:style w:type="paragraph" w:styleId="10">
    <w:name w:val="Balloon Text"/>
    <w:basedOn w:val="1"/>
    <w:link w:val="36"/>
    <w:semiHidden/>
    <w:unhideWhenUsed/>
    <w:qFormat/>
    <w:uiPriority w:val="99"/>
    <w:rPr>
      <w:sz w:val="18"/>
      <w:szCs w:val="18"/>
    </w:rPr>
  </w:style>
  <w:style w:type="paragraph" w:styleId="11">
    <w:name w:val="footer"/>
    <w:basedOn w:val="1"/>
    <w:link w:val="33"/>
    <w:unhideWhenUsed/>
    <w:qFormat/>
    <w:uiPriority w:val="99"/>
    <w:pPr>
      <w:tabs>
        <w:tab w:val="center" w:pos="4153"/>
        <w:tab w:val="right" w:pos="8306"/>
      </w:tabs>
      <w:snapToGrid w:val="0"/>
      <w:jc w:val="left"/>
    </w:pPr>
    <w:rPr>
      <w:sz w:val="18"/>
      <w:szCs w:val="18"/>
    </w:rPr>
  </w:style>
  <w:style w:type="paragraph" w:styleId="12">
    <w:name w:val="header"/>
    <w:basedOn w:val="1"/>
    <w:link w:val="32"/>
    <w:unhideWhenUsed/>
    <w:qFormat/>
    <w:uiPriority w:val="99"/>
    <w:pPr>
      <w:pBdr>
        <w:bottom w:val="single" w:color="auto" w:sz="6" w:space="1"/>
      </w:pBdr>
      <w:tabs>
        <w:tab w:val="center" w:pos="4153"/>
        <w:tab w:val="right" w:pos="8306"/>
      </w:tabs>
      <w:snapToGrid w:val="0"/>
      <w:jc w:val="center"/>
    </w:pPr>
    <w:rPr>
      <w:sz w:val="18"/>
      <w:szCs w:val="18"/>
    </w:rPr>
  </w:style>
  <w:style w:type="paragraph" w:styleId="13">
    <w:name w:val="toc 1"/>
    <w:basedOn w:val="1"/>
    <w:next w:val="1"/>
    <w:unhideWhenUsed/>
    <w:qFormat/>
    <w:uiPriority w:val="39"/>
    <w:pPr>
      <w:spacing w:before="120"/>
      <w:jc w:val="left"/>
    </w:pPr>
    <w:rPr>
      <w:rFonts w:asciiTheme="minorHAnsi" w:eastAsiaTheme="minorHAnsi"/>
      <w:b/>
      <w:bCs/>
      <w:i/>
      <w:iCs/>
      <w:sz w:val="24"/>
      <w:szCs w:val="24"/>
    </w:rPr>
  </w:style>
  <w:style w:type="paragraph" w:styleId="14">
    <w:name w:val="toc 4"/>
    <w:basedOn w:val="1"/>
    <w:next w:val="1"/>
    <w:unhideWhenUsed/>
    <w:qFormat/>
    <w:uiPriority w:val="39"/>
    <w:pPr>
      <w:ind w:left="630"/>
      <w:jc w:val="left"/>
    </w:pPr>
    <w:rPr>
      <w:rFonts w:asciiTheme="minorHAnsi" w:eastAsiaTheme="minorHAnsi"/>
      <w:sz w:val="20"/>
      <w:szCs w:val="20"/>
    </w:rPr>
  </w:style>
  <w:style w:type="paragraph" w:styleId="15">
    <w:name w:val="toc 6"/>
    <w:basedOn w:val="1"/>
    <w:next w:val="1"/>
    <w:unhideWhenUsed/>
    <w:qFormat/>
    <w:uiPriority w:val="39"/>
    <w:pPr>
      <w:ind w:left="1050"/>
      <w:jc w:val="left"/>
    </w:pPr>
    <w:rPr>
      <w:rFonts w:asciiTheme="minorHAnsi" w:eastAsiaTheme="minorHAnsi"/>
      <w:sz w:val="20"/>
      <w:szCs w:val="20"/>
    </w:rPr>
  </w:style>
  <w:style w:type="paragraph" w:styleId="16">
    <w:name w:val="toc 2"/>
    <w:basedOn w:val="1"/>
    <w:next w:val="1"/>
    <w:unhideWhenUsed/>
    <w:qFormat/>
    <w:uiPriority w:val="39"/>
    <w:pPr>
      <w:spacing w:before="120"/>
      <w:ind w:left="210"/>
      <w:jc w:val="left"/>
    </w:pPr>
    <w:rPr>
      <w:rFonts w:asciiTheme="minorHAnsi" w:eastAsiaTheme="minorHAnsi"/>
      <w:b/>
      <w:bCs/>
      <w:sz w:val="22"/>
    </w:rPr>
  </w:style>
  <w:style w:type="paragraph" w:styleId="17">
    <w:name w:val="toc 9"/>
    <w:basedOn w:val="1"/>
    <w:next w:val="1"/>
    <w:unhideWhenUsed/>
    <w:qFormat/>
    <w:uiPriority w:val="39"/>
    <w:pPr>
      <w:ind w:left="1680"/>
      <w:jc w:val="left"/>
    </w:pPr>
    <w:rPr>
      <w:rFonts w:asciiTheme="minorHAnsi" w:eastAsiaTheme="minorHAnsi"/>
      <w:sz w:val="20"/>
      <w:szCs w:val="20"/>
    </w:rPr>
  </w:style>
  <w:style w:type="paragraph" w:styleId="18">
    <w:name w:val="Normal (Web)"/>
    <w:basedOn w:val="1"/>
    <w:semiHidden/>
    <w:unhideWhenUsed/>
    <w:qFormat/>
    <w:uiPriority w:val="99"/>
    <w:pPr>
      <w:widowControl/>
      <w:spacing w:before="100" w:beforeAutospacing="1" w:after="100" w:afterAutospacing="1"/>
      <w:jc w:val="left"/>
    </w:pPr>
    <w:rPr>
      <w:rFonts w:ascii="宋体" w:hAnsi="宋体" w:cs="宋体"/>
      <w:kern w:val="0"/>
      <w:sz w:val="24"/>
      <w:szCs w:val="24"/>
    </w:rPr>
  </w:style>
  <w:style w:type="paragraph" w:styleId="19">
    <w:name w:val="annotation subject"/>
    <w:basedOn w:val="6"/>
    <w:next w:val="6"/>
    <w:link w:val="40"/>
    <w:semiHidden/>
    <w:unhideWhenUsed/>
    <w:qFormat/>
    <w:uiPriority w:val="99"/>
    <w:rPr>
      <w:b/>
      <w:bCs/>
    </w:rPr>
  </w:style>
  <w:style w:type="table" w:styleId="21">
    <w:name w:val="Table Grid"/>
    <w:basedOn w:val="20"/>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3">
    <w:name w:val="Strong"/>
    <w:basedOn w:val="22"/>
    <w:qFormat/>
    <w:uiPriority w:val="22"/>
    <w:rPr>
      <w:b/>
    </w:rPr>
  </w:style>
  <w:style w:type="character" w:styleId="24">
    <w:name w:val="Emphasis"/>
    <w:basedOn w:val="22"/>
    <w:qFormat/>
    <w:uiPriority w:val="20"/>
    <w:rPr>
      <w:i/>
    </w:rPr>
  </w:style>
  <w:style w:type="character" w:styleId="25">
    <w:name w:val="Hyperlink"/>
    <w:basedOn w:val="22"/>
    <w:unhideWhenUsed/>
    <w:qFormat/>
    <w:uiPriority w:val="99"/>
    <w:rPr>
      <w:color w:val="0563C1" w:themeColor="hyperlink"/>
      <w:u w:val="single"/>
      <w14:textFill>
        <w14:solidFill>
          <w14:schemeClr w14:val="hlink"/>
        </w14:solidFill>
      </w14:textFill>
    </w:rPr>
  </w:style>
  <w:style w:type="character" w:styleId="26">
    <w:name w:val="annotation reference"/>
    <w:basedOn w:val="22"/>
    <w:semiHidden/>
    <w:unhideWhenUsed/>
    <w:qFormat/>
    <w:uiPriority w:val="99"/>
    <w:rPr>
      <w:sz w:val="21"/>
      <w:szCs w:val="21"/>
    </w:rPr>
  </w:style>
  <w:style w:type="paragraph" w:customStyle="1" w:styleId="27">
    <w:name w:val="样式1"/>
    <w:basedOn w:val="1"/>
    <w:link w:val="29"/>
    <w:qFormat/>
    <w:uiPriority w:val="0"/>
    <w:rPr>
      <w:b/>
      <w:sz w:val="24"/>
    </w:rPr>
  </w:style>
  <w:style w:type="table" w:customStyle="1" w:styleId="28">
    <w:name w:val="网格表 3 - 着色 11"/>
    <w:basedOn w:val="20"/>
    <w:qFormat/>
    <w:uiPriority w:val="48"/>
    <w:tblPr>
      <w:tblBorders>
        <w:top w:val="single" w:color="8EAADB" w:themeColor="accent1" w:themeTint="99" w:sz="4" w:space="0"/>
        <w:left w:val="single" w:color="8EAADB" w:themeColor="accent1" w:themeTint="99" w:sz="4" w:space="0"/>
        <w:bottom w:val="single" w:color="8EAADB" w:themeColor="accent1" w:themeTint="99" w:sz="4" w:space="0"/>
        <w:right w:val="single" w:color="8EAADB" w:themeColor="accent1" w:themeTint="99" w:sz="4" w:space="0"/>
        <w:insideH w:val="single" w:color="8EAADB" w:themeColor="accent1" w:themeTint="99" w:sz="4" w:space="0"/>
        <w:insideV w:val="single" w:color="8EAADB" w:themeColor="accent1"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D9E2F3" w:themeFill="accent1" w:themeFillTint="33"/>
      </w:tcPr>
    </w:tblStylePr>
    <w:tblStylePr w:type="band1Horz">
      <w:tcPr>
        <w:shd w:val="clear" w:color="auto" w:fill="D9E2F3" w:themeFill="accent1" w:themeFillTint="33"/>
      </w:tcPr>
    </w:tblStylePr>
    <w:tblStylePr w:type="neCell">
      <w:tcPr>
        <w:tcBorders>
          <w:bottom w:val="single" w:color="8EAADB" w:themeColor="accent1" w:themeTint="99" w:sz="4" w:space="0"/>
        </w:tcBorders>
      </w:tcPr>
    </w:tblStylePr>
    <w:tblStylePr w:type="nwCell">
      <w:tcPr>
        <w:tcBorders>
          <w:bottom w:val="single" w:color="8EAADB" w:themeColor="accent1" w:themeTint="99" w:sz="4" w:space="0"/>
        </w:tcBorders>
      </w:tcPr>
    </w:tblStylePr>
    <w:tblStylePr w:type="seCell">
      <w:tcPr>
        <w:tcBorders>
          <w:top w:val="single" w:color="8EAADB" w:themeColor="accent1" w:themeTint="99" w:sz="4" w:space="0"/>
        </w:tcBorders>
      </w:tcPr>
    </w:tblStylePr>
    <w:tblStylePr w:type="swCell">
      <w:tcPr>
        <w:tcBorders>
          <w:top w:val="single" w:color="8EAADB" w:themeColor="accent1" w:themeTint="99" w:sz="4" w:space="0"/>
        </w:tcBorders>
      </w:tcPr>
    </w:tblStylePr>
  </w:style>
  <w:style w:type="character" w:customStyle="1" w:styleId="29">
    <w:name w:val="样式1 字符"/>
    <w:basedOn w:val="22"/>
    <w:link w:val="27"/>
    <w:qFormat/>
    <w:uiPriority w:val="0"/>
    <w:rPr>
      <w:rFonts w:ascii="微软雅黑" w:hAnsi="微软雅黑" w:eastAsia="微软雅黑"/>
      <w:b/>
      <w:sz w:val="24"/>
    </w:rPr>
  </w:style>
  <w:style w:type="table" w:customStyle="1" w:styleId="30">
    <w:name w:val="清单表 7 彩色 - 着色 21"/>
    <w:basedOn w:val="20"/>
    <w:qFormat/>
    <w:uiPriority w:val="52"/>
    <w:rPr>
      <w:color w:val="C55A11" w:themeColor="accent2" w:themeShade="BF"/>
    </w:rPr>
    <w:tblStylePr w:type="firstRow">
      <w:rPr>
        <w:rFonts w:asciiTheme="majorHAnsi" w:hAnsiTheme="majorHAnsi" w:eastAsiaTheme="majorEastAsia" w:cstheme="majorBidi"/>
        <w:i/>
        <w:iCs/>
        <w:sz w:val="26"/>
      </w:rPr>
      <w:tcPr>
        <w:tcBorders>
          <w:bottom w:val="single" w:color="ED7D31" w:themeColor="accent2"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ED7D31" w:themeColor="accent2"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ED7D31" w:themeColor="accent2"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ED7D31" w:themeColor="accent2" w:sz="4" w:space="0"/>
        </w:tcBorders>
        <w:shd w:val="clear" w:color="auto" w:fill="FFFFFF" w:themeFill="background1"/>
      </w:tcPr>
    </w:tblStylePr>
    <w:tblStylePr w:type="band1Vert">
      <w:tcPr>
        <w:shd w:val="clear" w:color="auto" w:fill="FBE4D5" w:themeFill="accent2" w:themeFillTint="33"/>
      </w:tcPr>
    </w:tblStylePr>
    <w:tblStylePr w:type="band1Horz">
      <w:tcPr>
        <w:shd w:val="clear" w:color="auto" w:fill="FBE4D5" w:themeFill="accent2" w:themeFillTint="33"/>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table" w:customStyle="1" w:styleId="31">
    <w:name w:val="网格表 2 - 着色 51"/>
    <w:basedOn w:val="20"/>
    <w:qFormat/>
    <w:uiPriority w:val="47"/>
    <w:tblPr>
      <w:tblBorders>
        <w:top w:val="single" w:color="9CC2E5" w:themeColor="accent5" w:themeTint="99" w:sz="2" w:space="0"/>
        <w:bottom w:val="single" w:color="9CC2E5" w:themeColor="accent5" w:themeTint="99" w:sz="2" w:space="0"/>
        <w:insideH w:val="single" w:color="9CC2E5" w:themeColor="accent5" w:themeTint="99" w:sz="2" w:space="0"/>
        <w:insideV w:val="single" w:color="9CC2E5" w:themeColor="accent5" w:themeTint="99" w:sz="2" w:space="0"/>
      </w:tblBorders>
    </w:tblPr>
    <w:tblStylePr w:type="firstRow">
      <w:rPr>
        <w:b/>
        <w:bCs/>
      </w:rPr>
      <w:tcPr>
        <w:tcBorders>
          <w:top w:val="nil"/>
          <w:bottom w:val="single" w:color="9CC2E5" w:themeColor="accent5" w:themeTint="99" w:sz="12" w:space="0"/>
          <w:insideH w:val="nil"/>
          <w:insideV w:val="nil"/>
        </w:tcBorders>
        <w:shd w:val="clear" w:color="auto" w:fill="FFFFFF" w:themeFill="background1"/>
      </w:tcPr>
    </w:tblStylePr>
    <w:tblStylePr w:type="lastRow">
      <w:rPr>
        <w:b/>
        <w:bCs/>
      </w:rPr>
      <w:tcPr>
        <w:tcBorders>
          <w:top w:val="double" w:color="9CC2E5" w:themeColor="accent5"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EEAF6" w:themeFill="accent5" w:themeFillTint="33"/>
      </w:tcPr>
    </w:tblStylePr>
    <w:tblStylePr w:type="band1Horz">
      <w:tcPr>
        <w:shd w:val="clear" w:color="auto" w:fill="DEEAF6" w:themeFill="accent5" w:themeFillTint="33"/>
      </w:tcPr>
    </w:tblStylePr>
  </w:style>
  <w:style w:type="character" w:customStyle="1" w:styleId="32">
    <w:name w:val="页眉 字符"/>
    <w:basedOn w:val="22"/>
    <w:link w:val="12"/>
    <w:qFormat/>
    <w:uiPriority w:val="99"/>
    <w:rPr>
      <w:sz w:val="18"/>
      <w:szCs w:val="18"/>
    </w:rPr>
  </w:style>
  <w:style w:type="character" w:customStyle="1" w:styleId="33">
    <w:name w:val="页脚 字符"/>
    <w:basedOn w:val="22"/>
    <w:link w:val="11"/>
    <w:qFormat/>
    <w:uiPriority w:val="99"/>
    <w:rPr>
      <w:sz w:val="18"/>
      <w:szCs w:val="18"/>
    </w:rPr>
  </w:style>
  <w:style w:type="table" w:customStyle="1" w:styleId="34">
    <w:name w:val="清单表 1 浅色 - 着色 51"/>
    <w:basedOn w:val="20"/>
    <w:qFormat/>
    <w:uiPriority w:val="46"/>
    <w:tblStylePr w:type="firstRow">
      <w:rPr>
        <w:b/>
        <w:bCs/>
      </w:rPr>
      <w:tcPr>
        <w:tcBorders>
          <w:bottom w:val="single" w:color="9CC2E5" w:themeColor="accent5" w:themeTint="99" w:sz="4" w:space="0"/>
        </w:tcBorders>
      </w:tcPr>
    </w:tblStylePr>
    <w:tblStylePr w:type="lastRow">
      <w:rPr>
        <w:b/>
        <w:bCs/>
      </w:rPr>
      <w:tcPr>
        <w:tcBorders>
          <w:top w:val="single" w:color="9CC2E5" w:themeColor="accent5" w:themeTint="99" w:sz="4" w:space="0"/>
        </w:tcBorders>
      </w:tcPr>
    </w:tblStylePr>
    <w:tblStylePr w:type="firstCol">
      <w:rPr>
        <w:b/>
        <w:bCs/>
      </w:rPr>
    </w:tblStylePr>
    <w:tblStylePr w:type="lastCol">
      <w:rPr>
        <w:b/>
        <w:bCs/>
      </w:rPr>
    </w:tblStylePr>
    <w:tblStylePr w:type="band1Vert">
      <w:tcPr>
        <w:shd w:val="clear" w:color="auto" w:fill="DEEAF6" w:themeFill="accent5" w:themeFillTint="33"/>
      </w:tcPr>
    </w:tblStylePr>
    <w:tblStylePr w:type="band1Horz">
      <w:tcPr>
        <w:shd w:val="clear" w:color="auto" w:fill="DEEAF6" w:themeFill="accent5" w:themeFillTint="33"/>
      </w:tcPr>
    </w:tblStylePr>
  </w:style>
  <w:style w:type="table" w:customStyle="1" w:styleId="35">
    <w:name w:val="无格式表格 11"/>
    <w:basedOn w:val="20"/>
    <w:qFormat/>
    <w:uiPriority w:val="41"/>
    <w:tblPr>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Pr>
    <w:tblStylePr w:type="firstRow">
      <w:rPr>
        <w:b/>
        <w:bCs/>
      </w:rPr>
    </w:tblStylePr>
    <w:tblStylePr w:type="lastRow">
      <w:rPr>
        <w:b/>
        <w:bCs/>
      </w:rPr>
      <w:tcPr>
        <w:tcBorders>
          <w:top w:val="double" w:color="BEBEBE" w:themeColor="background1" w:themeShade="BF" w:sz="4" w:space="0"/>
        </w:tcBorders>
      </w:tcPr>
    </w:tblStylePr>
    <w:tblStylePr w:type="firstCol">
      <w:rPr>
        <w:b/>
        <w:bCs/>
      </w:rPr>
    </w:tblStylePr>
    <w:tblStylePr w:type="lastCol">
      <w:rPr>
        <w:b/>
        <w:bCs/>
      </w:rPr>
    </w:tblStylePr>
    <w:tblStylePr w:type="band1Vert">
      <w:tcPr>
        <w:shd w:val="clear" w:color="auto" w:fill="F1F1F1" w:themeFill="background1" w:themeFillShade="F2"/>
      </w:tcPr>
    </w:tblStylePr>
    <w:tblStylePr w:type="band1Horz">
      <w:tcPr>
        <w:shd w:val="clear" w:color="auto" w:fill="F1F1F1" w:themeFill="background1" w:themeFillShade="F2"/>
      </w:tcPr>
    </w:tblStylePr>
  </w:style>
  <w:style w:type="character" w:customStyle="1" w:styleId="36">
    <w:name w:val="批注框文本 字符"/>
    <w:basedOn w:val="22"/>
    <w:link w:val="10"/>
    <w:semiHidden/>
    <w:qFormat/>
    <w:uiPriority w:val="99"/>
    <w:rPr>
      <w:sz w:val="18"/>
      <w:szCs w:val="18"/>
    </w:rPr>
  </w:style>
  <w:style w:type="character" w:customStyle="1" w:styleId="37">
    <w:name w:val="未处理的提及1"/>
    <w:basedOn w:val="22"/>
    <w:semiHidden/>
    <w:unhideWhenUsed/>
    <w:qFormat/>
    <w:uiPriority w:val="99"/>
    <w:rPr>
      <w:color w:val="808080"/>
      <w:shd w:val="clear" w:color="auto" w:fill="E6E6E6"/>
    </w:rPr>
  </w:style>
  <w:style w:type="paragraph" w:styleId="38">
    <w:name w:val="List Paragraph"/>
    <w:basedOn w:val="1"/>
    <w:qFormat/>
    <w:uiPriority w:val="34"/>
    <w:pPr>
      <w:ind w:firstLine="420" w:firstLineChars="200"/>
    </w:pPr>
  </w:style>
  <w:style w:type="character" w:customStyle="1" w:styleId="39">
    <w:name w:val="批注文字 字符"/>
    <w:basedOn w:val="22"/>
    <w:link w:val="6"/>
    <w:semiHidden/>
    <w:qFormat/>
    <w:uiPriority w:val="99"/>
  </w:style>
  <w:style w:type="character" w:customStyle="1" w:styleId="40">
    <w:name w:val="批注主题 字符"/>
    <w:basedOn w:val="39"/>
    <w:link w:val="19"/>
    <w:semiHidden/>
    <w:qFormat/>
    <w:uiPriority w:val="99"/>
    <w:rPr>
      <w:b/>
      <w:bCs/>
    </w:rPr>
  </w:style>
  <w:style w:type="table" w:customStyle="1" w:styleId="41">
    <w:name w:val="网格型1"/>
    <w:basedOn w:val="20"/>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42">
    <w:name w:val="网格型2"/>
    <w:basedOn w:val="20"/>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43">
    <w:name w:val="网格型3"/>
    <w:basedOn w:val="20"/>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44">
    <w:name w:val="网格型4"/>
    <w:basedOn w:val="20"/>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45">
    <w:name w:val="Table Normal1"/>
    <w:basedOn w:val="20"/>
    <w:qFormat/>
    <w:uiPriority w:val="0"/>
    <w:rPr>
      <w:rFonts w:eastAsia="Times New Roman"/>
    </w:rPr>
    <w:tblPr>
      <w:tblCellMar>
        <w:left w:w="0" w:type="dxa"/>
        <w:right w:w="0" w:type="dxa"/>
      </w:tblCellMar>
    </w:tblPr>
  </w:style>
  <w:style w:type="paragraph" w:customStyle="1" w:styleId="46">
    <w:name w:val="Table Paragraph"/>
    <w:basedOn w:val="1"/>
    <w:qFormat/>
    <w:uiPriority w:val="1"/>
    <w:pPr>
      <w:autoSpaceDE w:val="0"/>
      <w:autoSpaceDN w:val="0"/>
      <w:jc w:val="left"/>
    </w:pPr>
    <w:rPr>
      <w:rFonts w:cs="微软雅黑"/>
      <w:kern w:val="0"/>
      <w:sz w:val="22"/>
    </w:rPr>
  </w:style>
  <w:style w:type="table" w:customStyle="1" w:styleId="47">
    <w:name w:val="Table Normal"/>
    <w:semiHidden/>
    <w:unhideWhenUsed/>
    <w:qFormat/>
    <w:uiPriority w:val="2"/>
    <w:pPr>
      <w:widowControl w:val="0"/>
      <w:autoSpaceDE w:val="0"/>
      <w:autoSpaceDN w:val="0"/>
    </w:pPr>
    <w:rPr>
      <w:rFonts w:asciiTheme="minorHAnsi" w:hAnsiTheme="minorHAnsi" w:eastAsiaTheme="minorEastAsia" w:cstheme="minorBidi"/>
      <w:sz w:val="22"/>
      <w:lang w:eastAsia="en-US"/>
    </w:rPr>
    <w:tblPr>
      <w:tblCellMar>
        <w:top w:w="0" w:type="dxa"/>
        <w:left w:w="0" w:type="dxa"/>
        <w:bottom w:w="0" w:type="dxa"/>
        <w:right w:w="0" w:type="dxa"/>
      </w:tblCellMar>
    </w:tblPr>
  </w:style>
  <w:style w:type="character" w:customStyle="1" w:styleId="48">
    <w:name w:val="标题 2 字符"/>
    <w:basedOn w:val="22"/>
    <w:link w:val="3"/>
    <w:qFormat/>
    <w:uiPriority w:val="9"/>
    <w:rPr>
      <w:rFonts w:ascii="微软雅黑" w:hAnsi="微软雅黑" w:eastAsia="微软雅黑" w:cs="微软雅黑"/>
      <w:b/>
      <w:bCs/>
      <w:kern w:val="0"/>
      <w:sz w:val="24"/>
      <w:szCs w:val="24"/>
    </w:rPr>
  </w:style>
  <w:style w:type="character" w:customStyle="1" w:styleId="49">
    <w:name w:val="fontstyle01"/>
    <w:basedOn w:val="22"/>
    <w:qFormat/>
    <w:uiPriority w:val="0"/>
    <w:rPr>
      <w:rFonts w:hint="eastAsia" w:ascii="微软雅黑" w:hAnsi="微软雅黑" w:eastAsia="微软雅黑"/>
      <w:color w:val="000000"/>
      <w:sz w:val="18"/>
      <w:szCs w:val="18"/>
    </w:rPr>
  </w:style>
  <w:style w:type="table" w:customStyle="1" w:styleId="50">
    <w:name w:val="网格型5"/>
    <w:basedOn w:val="20"/>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51">
    <w:name w:val="标题 1 字符"/>
    <w:basedOn w:val="22"/>
    <w:link w:val="2"/>
    <w:qFormat/>
    <w:uiPriority w:val="9"/>
    <w:rPr>
      <w:b/>
      <w:bCs/>
      <w:kern w:val="44"/>
      <w:sz w:val="44"/>
      <w:szCs w:val="44"/>
    </w:rPr>
  </w:style>
  <w:style w:type="paragraph" w:customStyle="1" w:styleId="52">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F5597" w:themeColor="accent1" w:themeShade="BF"/>
      <w:kern w:val="0"/>
      <w:sz w:val="32"/>
      <w:szCs w:val="32"/>
    </w:rPr>
  </w:style>
  <w:style w:type="paragraph" w:customStyle="1" w:styleId="53">
    <w:name w:val="表格"/>
    <w:basedOn w:val="1"/>
    <w:qFormat/>
    <w:uiPriority w:val="0"/>
    <w:pPr>
      <w:jc w:val="center"/>
    </w:pPr>
    <w:rPr>
      <w:bCs/>
      <w:sz w:val="18"/>
      <w:szCs w:val="18"/>
    </w:rPr>
  </w:style>
  <w:style w:type="paragraph" w:customStyle="1" w:styleId="54">
    <w:name w:val="列出段落11"/>
    <w:basedOn w:val="1"/>
    <w:qFormat/>
    <w:uiPriority w:val="1"/>
    <w:pPr>
      <w:spacing w:line="400" w:lineRule="exact"/>
    </w:pPr>
    <w:rPr>
      <w:rFonts w:ascii="Times New Roman" w:hAnsi="Times New Roman" w:eastAsia="微软雅黑" w:cs="微软雅黑"/>
      <w:sz w:val="20"/>
      <w:szCs w:val="20"/>
    </w:rPr>
  </w:style>
  <w:style w:type="table" w:customStyle="1" w:styleId="55">
    <w:name w:val="mutation result3"/>
    <w:basedOn w:val="20"/>
    <w:qFormat/>
    <w:uiPriority w:val="6"/>
    <w:pPr>
      <w:widowControl w:val="0"/>
      <w:jc w:val="center"/>
    </w:pPr>
    <w:rPr>
      <w:rFonts w:ascii="Cambria" w:hAnsi="宋体" w:cs="Cambria"/>
    </w:rPr>
    <w:tblPr>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Pr>
    <w:tcPr>
      <w:vAlign w:val="center"/>
    </w:tcPr>
    <w:tblStylePr w:type="firstRow">
      <w:rPr>
        <w:b/>
        <w:bCs/>
        <w:sz w:val="21"/>
        <w:szCs w:val="21"/>
      </w:rPr>
      <w:tcPr>
        <w:shd w:val="clear" w:color="auto" w:fill="D0D0CE"/>
      </w:tcPr>
    </w:tblStylePr>
    <w:tblStylePr w:type="firstCol">
      <w:rPr>
        <w:b/>
        <w:bCs/>
      </w:rPr>
    </w:tblStylePr>
  </w:style>
  <w:style w:type="character" w:customStyle="1" w:styleId="56">
    <w:name w:val="未处理的提及2"/>
    <w:basedOn w:val="22"/>
    <w:semiHidden/>
    <w:unhideWhenUsed/>
    <w:qFormat/>
    <w:uiPriority w:val="99"/>
    <w:rPr>
      <w:color w:val="605E5C"/>
      <w:shd w:val="clear" w:color="auto" w:fill="E1DFDD"/>
    </w:rPr>
  </w:style>
  <w:style w:type="paragraph" w:customStyle="1" w:styleId="57">
    <w:name w:val="TOC 标题2"/>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F5597" w:themeColor="accent1" w:themeShade="BF"/>
      <w:kern w:val="0"/>
      <w:sz w:val="32"/>
      <w:szCs w:val="32"/>
    </w:rPr>
  </w:style>
  <w:style w:type="table" w:customStyle="1" w:styleId="58">
    <w:name w:val="网格表 4 - 着色 51"/>
    <w:basedOn w:val="20"/>
    <w:qFormat/>
    <w:uiPriority w:val="49"/>
    <w:tblPr>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Pr>
    <w:tcPr>
      <w:shd w:val="clear" w:color="auto" w:fill="F1F1F1" w:themeFill="background1" w:themeFillShade="F2"/>
    </w:tcPr>
    <w:tblStylePr w:type="firstRow">
      <w:rPr>
        <w:b/>
        <w:bCs/>
        <w:color w:val="FFFFFF" w:themeColor="background1"/>
        <w14:textFill>
          <w14:solidFill>
            <w14:schemeClr w14:val="bg1"/>
          </w14:solidFill>
        </w14:textFill>
      </w:rPr>
      <w:tcPr>
        <w:tcBorders>
          <w:top w:val="single" w:color="5B9BD5" w:themeColor="accent5" w:sz="4" w:space="0"/>
          <w:left w:val="single" w:color="5B9BD5" w:themeColor="accent5" w:sz="4" w:space="0"/>
          <w:bottom w:val="single" w:color="5B9BD5" w:themeColor="accent5" w:sz="4" w:space="0"/>
          <w:right w:val="single" w:color="5B9BD5" w:themeColor="accent5" w:sz="4" w:space="0"/>
          <w:insideH w:val="nil"/>
          <w:insideV w:val="nil"/>
        </w:tcBorders>
        <w:shd w:val="clear" w:color="auto" w:fill="5B9BD5" w:themeFill="accent5"/>
      </w:tcPr>
    </w:tblStylePr>
    <w:tblStylePr w:type="lastRow">
      <w:rPr>
        <w:b/>
        <w:bCs/>
      </w:rPr>
      <w:tcPr>
        <w:tcBorders>
          <w:top w:val="double" w:color="5B9BD5" w:themeColor="accent5" w:sz="4" w:space="0"/>
        </w:tcBorders>
      </w:tcPr>
    </w:tblStylePr>
    <w:tblStylePr w:type="firstCol">
      <w:rPr>
        <w:b/>
        <w:bCs/>
      </w:rPr>
    </w:tblStylePr>
    <w:tblStylePr w:type="lastCol">
      <w:rPr>
        <w:b/>
        <w:bCs/>
      </w:rPr>
    </w:tblStylePr>
    <w:tblStylePr w:type="band1Vert">
      <w:tcPr>
        <w:shd w:val="clear" w:color="auto" w:fill="DEEAF6" w:themeFill="accent5" w:themeFillTint="33"/>
      </w:tcPr>
    </w:tblStylePr>
    <w:tblStylePr w:type="band1Horz">
      <w:tcPr>
        <w:shd w:val="clear" w:color="auto" w:fill="DEEAF6" w:themeFill="accent5" w:themeFillTint="33"/>
      </w:tcPr>
    </w:tblStylePr>
  </w:style>
  <w:style w:type="table" w:customStyle="1" w:styleId="59">
    <w:name w:val="清单表 3 - 着色 51"/>
    <w:basedOn w:val="20"/>
    <w:qFormat/>
    <w:uiPriority w:val="48"/>
    <w:tblPr>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Pr>
    <w:tblStylePr w:type="firstRow">
      <w:rPr>
        <w:b/>
        <w:bCs/>
        <w:color w:val="FFFFFF" w:themeColor="background1"/>
        <w14:textFill>
          <w14:solidFill>
            <w14:schemeClr w14:val="bg1"/>
          </w14:solidFill>
        </w14:textFill>
      </w:rPr>
      <w:tcPr>
        <w:shd w:val="clear" w:color="auto" w:fill="5B9BD5" w:themeFill="accent5"/>
      </w:tcPr>
    </w:tblStylePr>
    <w:tblStylePr w:type="lastRow">
      <w:rPr>
        <w:b/>
        <w:bCs/>
      </w:rPr>
      <w:tcPr>
        <w:tcBorders>
          <w:top w:val="double" w:color="5B9BD5" w:themeColor="accent5"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5B9BD5" w:themeColor="accent5" w:sz="4" w:space="0"/>
          <w:right w:val="single" w:color="5B9BD5" w:themeColor="accent5" w:sz="4" w:space="0"/>
        </w:tcBorders>
      </w:tcPr>
    </w:tblStylePr>
    <w:tblStylePr w:type="band1Horz">
      <w:tcPr>
        <w:tcBorders>
          <w:top w:val="single" w:color="5B9BD5" w:themeColor="accent5" w:sz="4" w:space="0"/>
          <w:bottom w:val="single" w:color="5B9BD5" w:themeColor="accent5"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5B9BD5" w:themeColor="accent5" w:sz="4" w:space="0"/>
          <w:left w:val="nil"/>
        </w:tcBorders>
      </w:tcPr>
    </w:tblStylePr>
    <w:tblStylePr w:type="swCell">
      <w:tcPr>
        <w:tcBorders>
          <w:top w:val="double" w:color="5B9BD5" w:themeColor="accent5" w:sz="4" w:space="0"/>
          <w:right w:val="nil"/>
        </w:tcBorders>
      </w:tcPr>
    </w:tblStylePr>
  </w:style>
  <w:style w:type="table" w:customStyle="1" w:styleId="60">
    <w:name w:val="清单表 6 彩色 - 着色 31"/>
    <w:basedOn w:val="20"/>
    <w:qFormat/>
    <w:uiPriority w:val="51"/>
    <w:rPr>
      <w:color w:val="7C7C7C" w:themeColor="accent3" w:themeShade="BF"/>
    </w:rPr>
    <w:tblPr>
      <w:tblBorders>
        <w:top w:val="single" w:color="A5A5A5" w:themeColor="accent3" w:sz="4" w:space="0"/>
        <w:bottom w:val="single" w:color="A5A5A5" w:themeColor="accent3" w:sz="4" w:space="0"/>
      </w:tblBorders>
    </w:tblPr>
    <w:tblStylePr w:type="firstRow">
      <w:rPr>
        <w:b/>
        <w:bCs/>
      </w:rPr>
      <w:tcPr>
        <w:tcBorders>
          <w:bottom w:val="single" w:color="A5A5A5" w:themeColor="accent3" w:sz="4" w:space="0"/>
        </w:tcBorders>
      </w:tcPr>
    </w:tblStylePr>
    <w:tblStylePr w:type="lastRow">
      <w:rPr>
        <w:b/>
        <w:bCs/>
      </w:rPr>
      <w:tcPr>
        <w:tcBorders>
          <w:top w:val="double" w:color="A5A5A5" w:themeColor="accent3" w:sz="4" w:space="0"/>
        </w:tcBorders>
      </w:tcPr>
    </w:tblStylePr>
    <w:tblStylePr w:type="firstCol">
      <w:rPr>
        <w:b/>
        <w:bCs/>
      </w:rPr>
    </w:tblStylePr>
    <w:tblStylePr w:type="lastCol">
      <w:rPr>
        <w:b/>
        <w:bCs/>
      </w:rPr>
    </w:tblStylePr>
    <w:tblStylePr w:type="band1Vert">
      <w:tcPr>
        <w:shd w:val="clear" w:color="auto" w:fill="ECECEC" w:themeFill="accent3" w:themeFillTint="33"/>
      </w:tcPr>
    </w:tblStylePr>
    <w:tblStylePr w:type="band1Horz">
      <w:tcPr>
        <w:shd w:val="clear" w:color="auto" w:fill="ECECEC" w:themeFill="accent3" w:themeFillTint="33"/>
      </w:tcPr>
    </w:tblStylePr>
  </w:style>
  <w:style w:type="table" w:customStyle="1" w:styleId="61">
    <w:name w:val="清单表 1 浅色 - 着色 31"/>
    <w:basedOn w:val="20"/>
    <w:qFormat/>
    <w:uiPriority w:val="46"/>
    <w:tblStylePr w:type="firstRow">
      <w:rPr>
        <w:b/>
        <w:bCs/>
      </w:rPr>
      <w:tcPr>
        <w:tcBorders>
          <w:bottom w:val="single" w:color="C8C8C8" w:themeColor="accent3" w:themeTint="99" w:sz="4" w:space="0"/>
        </w:tcBorders>
      </w:tcPr>
    </w:tblStylePr>
    <w:tblStylePr w:type="lastRow">
      <w:rPr>
        <w:b/>
        <w:bCs/>
      </w:rPr>
      <w:tcPr>
        <w:tcBorders>
          <w:top w:val="single" w:color="C8C8C8" w:themeColor="accent3" w:themeTint="99" w:sz="4" w:space="0"/>
        </w:tcBorders>
      </w:tcPr>
    </w:tblStylePr>
    <w:tblStylePr w:type="firstCol">
      <w:rPr>
        <w:b/>
        <w:bCs/>
      </w:rPr>
    </w:tblStylePr>
    <w:tblStylePr w:type="lastCol">
      <w:rPr>
        <w:b/>
        <w:bCs/>
      </w:rPr>
    </w:tblStylePr>
    <w:tblStylePr w:type="band1Vert">
      <w:tcPr>
        <w:shd w:val="clear" w:color="auto" w:fill="ECECEC" w:themeFill="accent3" w:themeFillTint="33"/>
      </w:tcPr>
    </w:tblStylePr>
    <w:tblStylePr w:type="band1Horz">
      <w:tcPr>
        <w:shd w:val="clear" w:color="auto" w:fill="ECECEC" w:themeFill="accent3" w:themeFillTint="33"/>
      </w:tcPr>
    </w:tblStylePr>
  </w:style>
  <w:style w:type="table" w:customStyle="1" w:styleId="62">
    <w:name w:val="清单表 6 彩色 - 着色 61"/>
    <w:basedOn w:val="20"/>
    <w:qFormat/>
    <w:uiPriority w:val="51"/>
    <w:rPr>
      <w:color w:val="548235" w:themeColor="accent6" w:themeShade="BF"/>
    </w:rPr>
    <w:tblPr>
      <w:tblBorders>
        <w:top w:val="single" w:color="70AD47" w:themeColor="accent6" w:sz="4" w:space="0"/>
        <w:bottom w:val="single" w:color="70AD47" w:themeColor="accent6" w:sz="4" w:space="0"/>
      </w:tblBorders>
    </w:tblPr>
    <w:tblStylePr w:type="firstRow">
      <w:rPr>
        <w:b/>
        <w:bCs/>
      </w:rPr>
      <w:tcPr>
        <w:tcBorders>
          <w:bottom w:val="single" w:color="70AD47" w:themeColor="accent6" w:sz="4" w:space="0"/>
        </w:tcBorders>
      </w:tcPr>
    </w:tblStylePr>
    <w:tblStylePr w:type="lastRow">
      <w:rPr>
        <w:b/>
        <w:bCs/>
      </w:rPr>
      <w:tcPr>
        <w:tcBorders>
          <w:top w:val="double" w:color="70AD47" w:themeColor="accent6" w:sz="4" w:space="0"/>
        </w:tcBorders>
      </w:tcPr>
    </w:tblStylePr>
    <w:tblStylePr w:type="firstCol">
      <w:rPr>
        <w:b/>
        <w:bCs/>
      </w:rPr>
    </w:tblStylePr>
    <w:tblStylePr w:type="lastCol">
      <w:rPr>
        <w:b/>
        <w:bCs/>
      </w:rPr>
    </w:tblStylePr>
    <w:tblStylePr w:type="band1Vert">
      <w:tcPr>
        <w:shd w:val="clear" w:color="auto" w:fill="E2EFD9" w:themeFill="accent6" w:themeFillTint="33"/>
      </w:tcPr>
    </w:tblStylePr>
    <w:tblStylePr w:type="band1Horz">
      <w:tcPr>
        <w:shd w:val="clear" w:color="auto" w:fill="E2EFD9" w:themeFill="accent6" w:themeFillTint="33"/>
      </w:tcPr>
    </w:tblStylePr>
  </w:style>
  <w:style w:type="table" w:customStyle="1" w:styleId="63">
    <w:name w:val="网格表 3 - 着色 61"/>
    <w:basedOn w:val="20"/>
    <w:qFormat/>
    <w:uiPriority w:val="48"/>
    <w:tblPr>
      <w:tblBorders>
        <w:insideH w:val="single" w:color="E7E6E6" w:themeColor="background2" w:sz="4" w:space="0"/>
        <w:insideV w:val="single" w:color="E7E6E6" w:themeColor="background2"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E2EFD9" w:themeFill="accent6" w:themeFillTint="33"/>
      </w:tcPr>
    </w:tblStylePr>
    <w:tblStylePr w:type="band1Horz">
      <w:tcPr>
        <w:shd w:val="clear" w:color="auto" w:fill="E2EFD9" w:themeFill="accent6" w:themeFillTint="33"/>
      </w:tcPr>
    </w:tblStylePr>
    <w:tblStylePr w:type="neCell">
      <w:tcPr>
        <w:tcBorders>
          <w:bottom w:val="single" w:color="A8D08D" w:themeColor="accent6" w:themeTint="99" w:sz="4" w:space="0"/>
        </w:tcBorders>
      </w:tcPr>
    </w:tblStylePr>
    <w:tblStylePr w:type="nwCell">
      <w:tcPr>
        <w:tcBorders>
          <w:bottom w:val="single" w:color="A8D08D" w:themeColor="accent6" w:themeTint="99" w:sz="4" w:space="0"/>
        </w:tcBorders>
      </w:tcPr>
    </w:tblStylePr>
    <w:tblStylePr w:type="seCell">
      <w:tcPr>
        <w:tcBorders>
          <w:top w:val="single" w:color="A8D08D" w:themeColor="accent6" w:themeTint="99" w:sz="4" w:space="0"/>
        </w:tcBorders>
      </w:tcPr>
    </w:tblStylePr>
    <w:tblStylePr w:type="swCell">
      <w:tcPr>
        <w:tcBorders>
          <w:top w:val="single" w:color="A8D08D" w:themeColor="accent6" w:themeTint="99" w:sz="4" w:space="0"/>
        </w:tcBorders>
      </w:tcPr>
    </w:tblStylePr>
  </w:style>
  <w:style w:type="table" w:customStyle="1" w:styleId="64">
    <w:name w:val="网格表 1 浅色 - 着色 61"/>
    <w:basedOn w:val="20"/>
    <w:qFormat/>
    <w:uiPriority w:val="46"/>
    <w:tblPr>
      <w:tblBorders>
        <w:top w:val="single" w:color="C5E0B3" w:themeColor="accent6" w:themeTint="66" w:sz="4" w:space="0"/>
        <w:left w:val="single" w:color="C5E0B3" w:themeColor="accent6" w:themeTint="66" w:sz="4" w:space="0"/>
        <w:bottom w:val="single" w:color="C5E0B3" w:themeColor="accent6" w:themeTint="66" w:sz="4" w:space="0"/>
        <w:right w:val="single" w:color="C5E0B3" w:themeColor="accent6" w:themeTint="66" w:sz="4" w:space="0"/>
        <w:insideH w:val="single" w:color="C5E0B3" w:themeColor="accent6" w:themeTint="66" w:sz="4" w:space="0"/>
        <w:insideV w:val="single" w:color="C5E0B3" w:themeColor="accent6" w:themeTint="66" w:sz="4" w:space="0"/>
      </w:tblBorders>
    </w:tblPr>
    <w:tblStylePr w:type="firstRow">
      <w:rPr>
        <w:b/>
        <w:bCs/>
      </w:rPr>
      <w:tcPr>
        <w:tcBorders>
          <w:bottom w:val="single" w:color="A8D08D" w:themeColor="accent6" w:themeTint="99" w:sz="12" w:space="0"/>
        </w:tcBorders>
      </w:tcPr>
    </w:tblStylePr>
    <w:tblStylePr w:type="lastRow">
      <w:rPr>
        <w:b/>
        <w:bCs/>
      </w:rPr>
      <w:tcPr>
        <w:tcBorders>
          <w:top w:val="double" w:color="A8D08D" w:themeColor="accent6" w:themeTint="99" w:sz="2" w:space="0"/>
        </w:tcBorders>
      </w:tcPr>
    </w:tblStylePr>
    <w:tblStylePr w:type="firstCol">
      <w:rPr>
        <w:b/>
        <w:bCs/>
      </w:rPr>
    </w:tblStylePr>
    <w:tblStylePr w:type="lastCol">
      <w:rPr>
        <w:b/>
        <w:bCs/>
      </w:rPr>
    </w:tblStylePr>
  </w:style>
  <w:style w:type="table" w:customStyle="1" w:styleId="65">
    <w:name w:val="清单表 4 - 着色 51"/>
    <w:basedOn w:val="20"/>
    <w:qFormat/>
    <w:uiPriority w:val="49"/>
    <w:tblPr>
      <w:tblBorders>
        <w:top w:val="single" w:color="9CC2E5" w:themeColor="accent5" w:themeTint="99" w:sz="4" w:space="0"/>
        <w:left w:val="single" w:color="9CC2E5" w:themeColor="accent5" w:themeTint="99" w:sz="4" w:space="0"/>
        <w:bottom w:val="single" w:color="9CC2E5" w:themeColor="accent5" w:themeTint="99" w:sz="4" w:space="0"/>
        <w:right w:val="single" w:color="9CC2E5" w:themeColor="accent5" w:themeTint="99" w:sz="4" w:space="0"/>
        <w:insideH w:val="single" w:color="9CC2E5" w:themeColor="accent5" w:themeTint="99" w:sz="4" w:space="0"/>
      </w:tblBorders>
    </w:tblPr>
    <w:tblStylePr w:type="firstRow">
      <w:rPr>
        <w:b/>
        <w:bCs/>
        <w:color w:val="FFFFFF" w:themeColor="background1"/>
        <w14:textFill>
          <w14:solidFill>
            <w14:schemeClr w14:val="bg1"/>
          </w14:solidFill>
        </w14:textFill>
      </w:rPr>
      <w:tcPr>
        <w:tcBorders>
          <w:top w:val="single" w:color="5B9BD5" w:themeColor="accent5" w:sz="4" w:space="0"/>
          <w:left w:val="single" w:color="5B9BD5" w:themeColor="accent5" w:sz="4" w:space="0"/>
          <w:bottom w:val="single" w:color="5B9BD5" w:themeColor="accent5" w:sz="4" w:space="0"/>
          <w:right w:val="single" w:color="5B9BD5" w:themeColor="accent5" w:sz="4" w:space="0"/>
          <w:insideH w:val="nil"/>
        </w:tcBorders>
        <w:shd w:val="clear" w:color="auto" w:fill="5B9BD5" w:themeFill="accent5"/>
      </w:tcPr>
    </w:tblStylePr>
    <w:tblStylePr w:type="lastRow">
      <w:rPr>
        <w:b/>
        <w:bCs/>
      </w:rPr>
      <w:tcPr>
        <w:tcBorders>
          <w:top w:val="double" w:color="9CC2E5" w:themeColor="accent5" w:themeTint="99" w:sz="4" w:space="0"/>
        </w:tcBorders>
      </w:tcPr>
    </w:tblStylePr>
    <w:tblStylePr w:type="firstCol">
      <w:rPr>
        <w:b/>
        <w:bCs/>
      </w:rPr>
    </w:tblStylePr>
    <w:tblStylePr w:type="lastCol">
      <w:rPr>
        <w:b/>
        <w:bCs/>
      </w:rPr>
    </w:tblStylePr>
    <w:tblStylePr w:type="band1Vert">
      <w:tcPr>
        <w:shd w:val="clear" w:color="auto" w:fill="DEEAF6" w:themeFill="accent5" w:themeFillTint="33"/>
      </w:tcPr>
    </w:tblStylePr>
    <w:tblStylePr w:type="band1Horz">
      <w:tcPr>
        <w:shd w:val="clear" w:color="auto" w:fill="DEEAF6" w:themeFill="accent5" w:themeFillTint="33"/>
      </w:tcPr>
    </w:tblStylePr>
  </w:style>
  <w:style w:type="table" w:customStyle="1" w:styleId="66">
    <w:name w:val="清单表 3 - 着色 52"/>
    <w:basedOn w:val="20"/>
    <w:qFormat/>
    <w:uiPriority w:val="48"/>
    <w:tblPr>
      <w:tblBorders>
        <w:top w:val="single" w:color="5B9BD5" w:themeColor="accent5" w:sz="4" w:space="0"/>
        <w:left w:val="single" w:color="5B9BD5" w:themeColor="accent5" w:sz="4" w:space="0"/>
        <w:bottom w:val="single" w:color="5B9BD5" w:themeColor="accent5" w:sz="4" w:space="0"/>
        <w:right w:val="single" w:color="5B9BD5" w:themeColor="accent5" w:sz="4" w:space="0"/>
        <w:insideV w:val="single" w:color="5B9BD5" w:themeColor="accent5" w:sz="4" w:space="0"/>
      </w:tblBorders>
    </w:tblPr>
    <w:tblStylePr w:type="firstRow">
      <w:rPr>
        <w:b/>
        <w:bCs/>
        <w:color w:val="FFFFFF" w:themeColor="background1"/>
        <w14:textFill>
          <w14:solidFill>
            <w14:schemeClr w14:val="bg1"/>
          </w14:solidFill>
        </w14:textFill>
      </w:rPr>
      <w:tcPr>
        <w:shd w:val="clear" w:color="auto" w:fill="5B9BD5" w:themeFill="accent5"/>
      </w:tcPr>
    </w:tblStylePr>
    <w:tblStylePr w:type="lastRow">
      <w:rPr>
        <w:b/>
        <w:bCs/>
      </w:rPr>
      <w:tcPr>
        <w:tcBorders>
          <w:top w:val="double" w:color="5B9BD5" w:themeColor="accent5"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5B9BD5" w:themeColor="accent5" w:sz="4" w:space="0"/>
          <w:right w:val="single" w:color="5B9BD5" w:themeColor="accent5" w:sz="4" w:space="0"/>
        </w:tcBorders>
      </w:tcPr>
    </w:tblStylePr>
    <w:tblStylePr w:type="band1Horz">
      <w:tcPr>
        <w:tcBorders>
          <w:top w:val="single" w:color="5B9BD5" w:themeColor="accent5" w:sz="4" w:space="0"/>
          <w:bottom w:val="single" w:color="5B9BD5" w:themeColor="accent5"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5B9BD5" w:themeColor="accent5" w:sz="4" w:space="0"/>
          <w:left w:val="nil"/>
        </w:tcBorders>
      </w:tcPr>
    </w:tblStylePr>
    <w:tblStylePr w:type="swCell">
      <w:tcPr>
        <w:tcBorders>
          <w:top w:val="double" w:color="5B9BD5" w:themeColor="accent5" w:sz="4" w:space="0"/>
          <w:right w:val="nil"/>
        </w:tcBorders>
      </w:tcPr>
    </w:tblStylePr>
  </w:style>
  <w:style w:type="table" w:customStyle="1" w:styleId="67">
    <w:name w:val="清单表 3 - 着色 53"/>
    <w:basedOn w:val="20"/>
    <w:qFormat/>
    <w:uiPriority w:val="48"/>
    <w:tblPr>
      <w:tblBorders>
        <w:top w:val="single" w:color="5B9BD5" w:themeColor="accent5" w:sz="4" w:space="0"/>
        <w:left w:val="single" w:color="5B9BD5" w:themeColor="accent5" w:sz="4" w:space="0"/>
        <w:bottom w:val="single" w:color="5B9BD5" w:themeColor="accent5" w:sz="4" w:space="0"/>
        <w:right w:val="single" w:color="5B9BD5" w:themeColor="accent5" w:sz="4" w:space="0"/>
      </w:tblBorders>
    </w:tblPr>
    <w:tblStylePr w:type="firstRow">
      <w:rPr>
        <w:b/>
        <w:bCs/>
        <w:color w:val="FFFFFF" w:themeColor="background1"/>
        <w14:textFill>
          <w14:solidFill>
            <w14:schemeClr w14:val="bg1"/>
          </w14:solidFill>
        </w14:textFill>
      </w:rPr>
      <w:tcPr>
        <w:shd w:val="clear" w:color="auto" w:fill="5B9BD5" w:themeFill="accent5"/>
      </w:tcPr>
    </w:tblStylePr>
    <w:tblStylePr w:type="lastRow">
      <w:rPr>
        <w:b/>
        <w:bCs/>
      </w:rPr>
      <w:tcPr>
        <w:tcBorders>
          <w:top w:val="double" w:color="5B9BD5" w:themeColor="accent5"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5B9BD5" w:themeColor="accent5" w:sz="4" w:space="0"/>
          <w:right w:val="single" w:color="5B9BD5" w:themeColor="accent5" w:sz="4" w:space="0"/>
        </w:tcBorders>
      </w:tcPr>
    </w:tblStylePr>
    <w:tblStylePr w:type="band1Horz">
      <w:tcPr>
        <w:tcBorders>
          <w:top w:val="single" w:color="5B9BD5" w:themeColor="accent5" w:sz="4" w:space="0"/>
          <w:bottom w:val="single" w:color="5B9BD5" w:themeColor="accent5"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5B9BD5" w:themeColor="accent5" w:sz="4" w:space="0"/>
          <w:left w:val="nil"/>
        </w:tcBorders>
      </w:tcPr>
    </w:tblStylePr>
    <w:tblStylePr w:type="swCell">
      <w:tcPr>
        <w:tcBorders>
          <w:top w:val="double" w:color="5B9BD5" w:themeColor="accent5" w:sz="4" w:space="0"/>
          <w:right w:val="nil"/>
        </w:tcBorders>
      </w:tcPr>
    </w:tblStylePr>
  </w:style>
  <w:style w:type="character" w:customStyle="1" w:styleId="68">
    <w:name w:val="fontstyle11"/>
    <w:basedOn w:val="22"/>
    <w:qFormat/>
    <w:uiPriority w:val="0"/>
    <w:rPr>
      <w:rFonts w:ascii="NEU-BZ-Regular" w:hAnsi="NEU-BZ-Regular" w:eastAsia="NEU-BZ-Regular" w:cs="NEU-BZ-Regular"/>
      <w:color w:val="242021"/>
      <w:sz w:val="22"/>
      <w:szCs w:val="22"/>
    </w:rPr>
  </w:style>
  <w:style w:type="character" w:customStyle="1" w:styleId="69">
    <w:name w:val="fontstyle21"/>
    <w:basedOn w:val="22"/>
    <w:qFormat/>
    <w:uiPriority w:val="0"/>
    <w:rPr>
      <w:rFonts w:ascii="FZSSK--GBK1-0" w:hAnsi="FZSSK--GBK1-0" w:eastAsia="FZSSK--GBK1-0" w:cs="FZSSK--GBK1-0"/>
      <w:color w:val="242021"/>
      <w:sz w:val="22"/>
      <w:szCs w:val="22"/>
    </w:rPr>
  </w:style>
  <w:style w:type="character" w:customStyle="1" w:styleId="70">
    <w:name w:val="fontstyle31"/>
    <w:basedOn w:val="22"/>
    <w:qFormat/>
    <w:uiPriority w:val="0"/>
    <w:rPr>
      <w:rFonts w:ascii="NEU-BZ-Italic" w:hAnsi="NEU-BZ-Italic" w:eastAsia="NEU-BZ-Italic" w:cs="NEU-BZ-Italic"/>
      <w:i/>
      <w:color w:val="242021"/>
      <w:sz w:val="22"/>
      <w:szCs w:val="22"/>
    </w:rPr>
  </w:style>
  <w:style w:type="paragraph" w:customStyle="1" w:styleId="71">
    <w:name w:val="修订1"/>
    <w:hidden/>
    <w:semiHidden/>
    <w:qFormat/>
    <w:uiPriority w:val="99"/>
    <w:rPr>
      <w:rFonts w:ascii="等线" w:hAnsi="微软雅黑" w:eastAsia="等线" w:cs="Times New Roman"/>
      <w:kern w:val="2"/>
      <w:sz w:val="21"/>
      <w:szCs w:val="22"/>
      <w:lang w:val="en-US" w:eastAsia="zh-CN" w:bidi="ar-SA"/>
    </w:rPr>
  </w:style>
  <w:style w:type="character" w:customStyle="1" w:styleId="72">
    <w:name w:val="标题 3 字符"/>
    <w:basedOn w:val="22"/>
    <w:link w:val="4"/>
    <w:semiHidden/>
    <w:qFormat/>
    <w:uiPriority w:val="9"/>
    <w:rPr>
      <w:rFonts w:ascii="等线" w:hAnsi="微软雅黑" w:eastAsia="等线"/>
      <w:b/>
      <w:bCs/>
      <w:kern w:val="2"/>
      <w:sz w:val="32"/>
      <w:szCs w:val="32"/>
    </w:rPr>
  </w:style>
  <w:style w:type="table" w:customStyle="1" w:styleId="73">
    <w:name w:val="网格表 4 - 着色 511"/>
    <w:basedOn w:val="20"/>
    <w:qFormat/>
    <w:uiPriority w:val="49"/>
    <w:tblPr>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Pr>
    <w:tcPr>
      <w:shd w:val="clear" w:color="auto" w:fill="F1F1F1" w:themeFill="background1" w:themeFillShade="F2"/>
    </w:tcPr>
    <w:tblStylePr w:type="firstRow">
      <w:rPr>
        <w:b/>
        <w:bCs/>
        <w:color w:val="FFFFFF" w:themeColor="background1"/>
        <w14:textFill>
          <w14:solidFill>
            <w14:schemeClr w14:val="bg1"/>
          </w14:solidFill>
        </w14:textFill>
      </w:rPr>
      <w:tcPr>
        <w:tcBorders>
          <w:top w:val="single" w:color="5B9BD5" w:themeColor="accent5" w:sz="4" w:space="0"/>
          <w:left w:val="single" w:color="5B9BD5" w:themeColor="accent5" w:sz="4" w:space="0"/>
          <w:bottom w:val="single" w:color="5B9BD5" w:themeColor="accent5" w:sz="4" w:space="0"/>
          <w:right w:val="single" w:color="5B9BD5" w:themeColor="accent5" w:sz="4" w:space="0"/>
          <w:insideH w:val="nil"/>
          <w:insideV w:val="nil"/>
        </w:tcBorders>
        <w:shd w:val="clear" w:color="auto" w:fill="5B9BD5" w:themeFill="accent5"/>
      </w:tcPr>
    </w:tblStylePr>
    <w:tblStylePr w:type="lastRow">
      <w:rPr>
        <w:b/>
        <w:bCs/>
      </w:rPr>
      <w:tcPr>
        <w:tcBorders>
          <w:top w:val="double" w:color="5B9BD5" w:themeColor="accent5" w:sz="4" w:space="0"/>
        </w:tcBorders>
      </w:tcPr>
    </w:tblStylePr>
    <w:tblStylePr w:type="firstCol">
      <w:rPr>
        <w:b/>
        <w:bCs/>
      </w:rPr>
    </w:tblStylePr>
    <w:tblStylePr w:type="lastCol">
      <w:rPr>
        <w:b/>
        <w:bCs/>
      </w:rPr>
    </w:tblStylePr>
    <w:tblStylePr w:type="band1Vert">
      <w:tcPr>
        <w:shd w:val="clear" w:color="auto" w:fill="DEEAF6" w:themeFill="accent5" w:themeFillTint="33"/>
      </w:tcPr>
    </w:tblStylePr>
    <w:tblStylePr w:type="band1Horz">
      <w:tcPr>
        <w:shd w:val="clear" w:color="auto" w:fill="DEEAF6" w:themeFill="accent5" w:themeFillTint="33"/>
      </w:tcPr>
    </w:tblStylePr>
  </w:style>
  <w:style w:type="table" w:customStyle="1" w:styleId="74">
    <w:name w:val="清单表 3 - 着色 511"/>
    <w:basedOn w:val="20"/>
    <w:qFormat/>
    <w:uiPriority w:val="48"/>
    <w:tblPr>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Pr>
    <w:tblStylePr w:type="firstRow">
      <w:rPr>
        <w:b/>
        <w:bCs/>
        <w:color w:val="FFFFFF" w:themeColor="background1"/>
        <w14:textFill>
          <w14:solidFill>
            <w14:schemeClr w14:val="bg1"/>
          </w14:solidFill>
        </w14:textFill>
      </w:rPr>
      <w:tcPr>
        <w:shd w:val="clear" w:color="auto" w:fill="5B9BD5" w:themeFill="accent5"/>
      </w:tcPr>
    </w:tblStylePr>
    <w:tblStylePr w:type="lastRow">
      <w:rPr>
        <w:b/>
        <w:bCs/>
      </w:rPr>
      <w:tcPr>
        <w:tcBorders>
          <w:top w:val="double" w:color="5B9BD5" w:themeColor="accent5"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5B9BD5" w:themeColor="accent5" w:sz="4" w:space="0"/>
          <w:right w:val="single" w:color="5B9BD5" w:themeColor="accent5" w:sz="4" w:space="0"/>
        </w:tcBorders>
      </w:tcPr>
    </w:tblStylePr>
    <w:tblStylePr w:type="band1Horz">
      <w:tcPr>
        <w:tcBorders>
          <w:top w:val="single" w:color="5B9BD5" w:themeColor="accent5" w:sz="4" w:space="0"/>
          <w:bottom w:val="single" w:color="5B9BD5" w:themeColor="accent5"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5B9BD5" w:themeColor="accent5" w:sz="4" w:space="0"/>
          <w:left w:val="nil"/>
        </w:tcBorders>
      </w:tcPr>
    </w:tblStylePr>
    <w:tblStylePr w:type="swCell">
      <w:tcPr>
        <w:tcBorders>
          <w:top w:val="double" w:color="5B9BD5" w:themeColor="accent5" w:sz="4" w:space="0"/>
          <w:right w:val="nil"/>
        </w:tcBorders>
      </w:tcPr>
    </w:tblStylePr>
  </w:style>
  <w:style w:type="table" w:customStyle="1" w:styleId="75">
    <w:name w:val="清单表 4 - 着色 511"/>
    <w:basedOn w:val="20"/>
    <w:qFormat/>
    <w:uiPriority w:val="49"/>
    <w:tblPr>
      <w:tblBorders>
        <w:top w:val="single" w:color="9CC2E5" w:themeColor="accent5" w:themeTint="99" w:sz="4" w:space="0"/>
        <w:left w:val="single" w:color="9CC2E5" w:themeColor="accent5" w:themeTint="99" w:sz="4" w:space="0"/>
        <w:bottom w:val="single" w:color="9CC2E5" w:themeColor="accent5" w:themeTint="99" w:sz="4" w:space="0"/>
        <w:right w:val="single" w:color="9CC2E5" w:themeColor="accent5" w:themeTint="99" w:sz="4" w:space="0"/>
        <w:insideH w:val="single" w:color="9CC2E5" w:themeColor="accent5" w:themeTint="99" w:sz="4" w:space="0"/>
      </w:tblBorders>
    </w:tblPr>
    <w:tblStylePr w:type="firstRow">
      <w:rPr>
        <w:b/>
        <w:bCs/>
        <w:color w:val="FFFFFF" w:themeColor="background1"/>
        <w14:textFill>
          <w14:solidFill>
            <w14:schemeClr w14:val="bg1"/>
          </w14:solidFill>
        </w14:textFill>
      </w:rPr>
      <w:tcPr>
        <w:tcBorders>
          <w:top w:val="single" w:color="5B9BD5" w:themeColor="accent5" w:sz="4" w:space="0"/>
          <w:left w:val="single" w:color="5B9BD5" w:themeColor="accent5" w:sz="4" w:space="0"/>
          <w:bottom w:val="single" w:color="5B9BD5" w:themeColor="accent5" w:sz="4" w:space="0"/>
          <w:right w:val="single" w:color="5B9BD5" w:themeColor="accent5" w:sz="4" w:space="0"/>
          <w:insideH w:val="nil"/>
        </w:tcBorders>
        <w:shd w:val="clear" w:color="auto" w:fill="5B9BD5" w:themeFill="accent5"/>
      </w:tcPr>
    </w:tblStylePr>
    <w:tblStylePr w:type="lastRow">
      <w:rPr>
        <w:b/>
        <w:bCs/>
      </w:rPr>
      <w:tcPr>
        <w:tcBorders>
          <w:top w:val="double" w:color="9CC2E5" w:themeColor="accent5" w:themeTint="99" w:sz="4" w:space="0"/>
        </w:tcBorders>
      </w:tcPr>
    </w:tblStylePr>
    <w:tblStylePr w:type="firstCol">
      <w:rPr>
        <w:b/>
        <w:bCs/>
      </w:rPr>
    </w:tblStylePr>
    <w:tblStylePr w:type="lastCol">
      <w:rPr>
        <w:b/>
        <w:bCs/>
      </w:rPr>
    </w:tblStylePr>
    <w:tblStylePr w:type="band1Vert">
      <w:tcPr>
        <w:shd w:val="clear" w:color="auto" w:fill="DEEAF6" w:themeFill="accent5" w:themeFillTint="33"/>
      </w:tcPr>
    </w:tblStylePr>
    <w:tblStylePr w:type="band1Horz">
      <w:tcPr>
        <w:shd w:val="clear" w:color="auto" w:fill="DEEAF6" w:themeFill="accent5" w:themeFillTint="33"/>
      </w:tcPr>
    </w:tblStylePr>
  </w:style>
  <w:style w:type="table" w:customStyle="1" w:styleId="76">
    <w:name w:val="清单表 3 - 着色 521"/>
    <w:basedOn w:val="20"/>
    <w:qFormat/>
    <w:uiPriority w:val="48"/>
    <w:tblPr>
      <w:tblBorders>
        <w:top w:val="single" w:color="5B9BD5" w:themeColor="accent5" w:sz="4" w:space="0"/>
        <w:left w:val="single" w:color="5B9BD5" w:themeColor="accent5" w:sz="4" w:space="0"/>
        <w:bottom w:val="single" w:color="5B9BD5" w:themeColor="accent5" w:sz="4" w:space="0"/>
        <w:right w:val="single" w:color="5B9BD5" w:themeColor="accent5" w:sz="4" w:space="0"/>
        <w:insideV w:val="single" w:color="5B9BD5" w:themeColor="accent5" w:sz="4" w:space="0"/>
      </w:tblBorders>
    </w:tblPr>
    <w:tblStylePr w:type="firstRow">
      <w:rPr>
        <w:b/>
        <w:bCs/>
        <w:color w:val="FFFFFF" w:themeColor="background1"/>
        <w14:textFill>
          <w14:solidFill>
            <w14:schemeClr w14:val="bg1"/>
          </w14:solidFill>
        </w14:textFill>
      </w:rPr>
      <w:tcPr>
        <w:shd w:val="clear" w:color="auto" w:fill="5B9BD5" w:themeFill="accent5"/>
      </w:tcPr>
    </w:tblStylePr>
    <w:tblStylePr w:type="lastRow">
      <w:rPr>
        <w:b/>
        <w:bCs/>
      </w:rPr>
      <w:tcPr>
        <w:tcBorders>
          <w:top w:val="double" w:color="5B9BD5" w:themeColor="accent5"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5B9BD5" w:themeColor="accent5" w:sz="4" w:space="0"/>
          <w:right w:val="single" w:color="5B9BD5" w:themeColor="accent5" w:sz="4" w:space="0"/>
        </w:tcBorders>
      </w:tcPr>
    </w:tblStylePr>
    <w:tblStylePr w:type="band1Horz">
      <w:tcPr>
        <w:tcBorders>
          <w:top w:val="single" w:color="5B9BD5" w:themeColor="accent5" w:sz="4" w:space="0"/>
          <w:bottom w:val="single" w:color="5B9BD5" w:themeColor="accent5"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5B9BD5" w:themeColor="accent5" w:sz="4" w:space="0"/>
          <w:left w:val="nil"/>
        </w:tcBorders>
      </w:tcPr>
    </w:tblStylePr>
    <w:tblStylePr w:type="swCell">
      <w:tcPr>
        <w:tcBorders>
          <w:top w:val="double" w:color="5B9BD5" w:themeColor="accent5" w:sz="4" w:space="0"/>
          <w:right w:val="nil"/>
        </w:tcBorders>
      </w:tcPr>
    </w:tblStylePr>
  </w:style>
  <w:style w:type="table" w:customStyle="1" w:styleId="77">
    <w:name w:val="清单表 3 - 着色 531"/>
    <w:basedOn w:val="20"/>
    <w:qFormat/>
    <w:uiPriority w:val="48"/>
    <w:tblPr>
      <w:tblBorders>
        <w:top w:val="single" w:color="5B9BD5" w:themeColor="accent5" w:sz="4" w:space="0"/>
        <w:left w:val="single" w:color="5B9BD5" w:themeColor="accent5" w:sz="4" w:space="0"/>
        <w:bottom w:val="single" w:color="5B9BD5" w:themeColor="accent5" w:sz="4" w:space="0"/>
        <w:right w:val="single" w:color="5B9BD5" w:themeColor="accent5" w:sz="4" w:space="0"/>
      </w:tblBorders>
    </w:tblPr>
    <w:tblStylePr w:type="firstRow">
      <w:rPr>
        <w:b/>
        <w:bCs/>
        <w:color w:val="FFFFFF" w:themeColor="background1"/>
        <w14:textFill>
          <w14:solidFill>
            <w14:schemeClr w14:val="bg1"/>
          </w14:solidFill>
        </w14:textFill>
      </w:rPr>
      <w:tcPr>
        <w:shd w:val="clear" w:color="auto" w:fill="5B9BD5" w:themeFill="accent5"/>
      </w:tcPr>
    </w:tblStylePr>
    <w:tblStylePr w:type="lastRow">
      <w:rPr>
        <w:b/>
        <w:bCs/>
      </w:rPr>
      <w:tcPr>
        <w:tcBorders>
          <w:top w:val="double" w:color="5B9BD5" w:themeColor="accent5"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5B9BD5" w:themeColor="accent5" w:sz="4" w:space="0"/>
          <w:right w:val="single" w:color="5B9BD5" w:themeColor="accent5" w:sz="4" w:space="0"/>
        </w:tcBorders>
      </w:tcPr>
    </w:tblStylePr>
    <w:tblStylePr w:type="band1Horz">
      <w:tcPr>
        <w:tcBorders>
          <w:top w:val="single" w:color="5B9BD5" w:themeColor="accent5" w:sz="4" w:space="0"/>
          <w:bottom w:val="single" w:color="5B9BD5" w:themeColor="accent5"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5B9BD5" w:themeColor="accent5" w:sz="4" w:space="0"/>
          <w:left w:val="nil"/>
        </w:tcBorders>
      </w:tcPr>
    </w:tblStylePr>
    <w:tblStylePr w:type="swCell">
      <w:tcPr>
        <w:tcBorders>
          <w:top w:val="double" w:color="5B9BD5" w:themeColor="accent5" w:sz="4" w:space="0"/>
          <w:right w:val="nil"/>
        </w:tcBorders>
      </w:tcPr>
    </w:tblStylePr>
  </w:style>
  <w:style w:type="paragraph" w:customStyle="1" w:styleId="78">
    <w:name w:val="Revision"/>
    <w:hidden/>
    <w:semiHidden/>
    <w:qFormat/>
    <w:uiPriority w:val="99"/>
    <w:rPr>
      <w:rFonts w:ascii="等线" w:hAnsi="微软雅黑" w:eastAsia="等线"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1.jpeg"/><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header" Target="header3.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customXml" Target="../customXml/item2.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image" Target="media/image8.png"/><Relationship Id="rId15" Type="http://schemas.openxmlformats.org/officeDocument/2006/relationships/image" Target="media/image7.png"/><Relationship Id="rId14" Type="http://schemas.openxmlformats.org/officeDocument/2006/relationships/image" Target="media/image6.png"/><Relationship Id="rId13" Type="http://schemas.openxmlformats.org/officeDocument/2006/relationships/image" Target="media/image5.png"/><Relationship Id="rId12" Type="http://schemas.openxmlformats.org/officeDocument/2006/relationships/image" Target="media/image4.png"/><Relationship Id="rId11" Type="http://schemas.openxmlformats.org/officeDocument/2006/relationships/image" Target="media/image3.png"/><Relationship Id="rId10" Type="http://schemas.openxmlformats.org/officeDocument/2006/relationships/image" Target="media/image2.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E0D8331-B7E1-4993-A3BB-9D1DD3E32759}">
  <ds:schemaRefs/>
</ds:datastoreItem>
</file>

<file path=docProps/app.xml><?xml version="1.0" encoding="utf-8"?>
<Properties xmlns="http://schemas.openxmlformats.org/officeDocument/2006/extended-properties" xmlns:vt="http://schemas.openxmlformats.org/officeDocument/2006/docPropsVTypes">
  <Template>Normal.dotm</Template>
  <Pages>45</Pages>
  <Words>34047</Words>
  <Characters>51256</Characters>
  <Lines>636</Lines>
  <Paragraphs>179</Paragraphs>
  <TotalTime>0</TotalTime>
  <ScaleCrop>false</ScaleCrop>
  <LinksUpToDate>false</LinksUpToDate>
  <CharactersWithSpaces>53011</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2023-02-07T09:42:00Z</dcterms:created>
  <dc:creator>Wing Fu</dc:creator>
  <cp:lastModifiedBy>WPS_1689211275</cp:lastModifiedBy>
  <cp:lastPrinted>2019-04-11T07:11:00Z</cp:lastPrinted>
  <dcterms:modified xsi:type="dcterms:W3CDTF">2023-07-31T07:02:02Z</dcterms:modified>
  <cp:revision>63</cp:revision>
  <dc:description/>
  <dc:identifier/>
  <dc:language/>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5E6D3CDFDD494BBBAA2EB72488CD7239_13</vt:lpwstr>
  </property>
</Properties>
</file>