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1001"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Ansi="等线" w:cs="楷体"/>
          <w:b/>
          <w:bCs/>
          <w:color w:val="00A0E9"/>
          <w:sz w:val="40"/>
          <w:szCs w:val="40"/>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基因检测报告（组织版）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Ref80371375"/>
      <w:bookmarkStart w:id="2" w:name="_Toc8137841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7</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12</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17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18</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18</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19</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20</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21</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28</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37</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40</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42</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1005"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006"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受检者信息"/>
      <w:bookmarkEnd w:id="7"/>
      <w:bookmarkStart w:id="8" w:name="Part1：基本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color w:val="000000"/>
                <w:szCs w:val="21"/>
              </w:rPr>
              <w:t xml:space="preserve">江杰</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color w:val="000000"/>
                <w:szCs w:val="21"/>
              </w:rPr>
            </w:pPr>
            <w:r>
              <w:rPr>
                <w:rFonts w:hint="eastAsia" w:hAnsi="等线" w:cs="Arial"/>
                <w:color w:val="000000"/>
                <w:szCs w:val="21"/>
                <w:lang w:bidi="ar"/>
              </w:rPr>
              <w:t xml:space="preserve">男</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color w:val="000000"/>
                <w:szCs w:val="21"/>
              </w:rPr>
            </w:pPr>
            <w:r>
              <w:rPr>
                <w:rFonts w:hint="eastAsia" w:hAnsi="等线" w:cs="Arial"/>
                <w:color w:val="000000"/>
                <w:szCs w:val="21"/>
              </w:rPr>
              <w:t xml:space="preserve">69</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color w:val="000000"/>
                <w:szCs w:val="21"/>
              </w:rPr>
            </w:pPr>
            <w:r>
              <w:rPr>
                <w:rFonts w:hint="eastAsia" w:hAnsi="等线" w:cs="Arial"/>
                <w:color w:val="000000"/>
                <w:szCs w:val="21"/>
                <w:lang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olor w:val="000000"/>
                <w:szCs w:val="21"/>
              </w:rPr>
            </w:pPr>
            <w:r>
              <w:rPr>
                <w:rFonts w:hint="eastAsia" w:hAnsi="等线"/>
                <w:szCs w:val="21"/>
                <w:lang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szCs w:val="21"/>
                <w:lang w:bidi="ar"/>
              </w:rPr>
              <w:t xml:space="preserve">-</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1007"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lang w:bidi="ar"/>
              </w:rPr>
              <w:t xml:space="preserve">BC-20220705</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lang w:bidi="ar"/>
              </w:rPr>
              <w:t xml:space="preserve">白片</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lang w:bidi="ar"/>
              </w:rPr>
              <w:t xml:space="preserve">2022-07-06</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lang w:bidi="ar"/>
              </w:rPr>
              <w:t xml:space="preserve">2023-06-25</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olor w:val="000000"/>
                <w:szCs w:val="21"/>
              </w:rPr>
            </w:pPr>
            <w:r>
              <w:rPr>
                <w:rFonts w:hint="eastAsia" w:hAnsi="等线"/>
                <w:szCs w:val="21"/>
                <w:lang w:bidi="ar"/>
              </w:rPr>
              <w:t xml:space="preserve"/>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color w:val="000000"/>
                <w:szCs w:val="21"/>
              </w:rPr>
            </w:pPr>
            <w:r>
              <w:rPr>
                <w:rFonts w:hint="eastAsia" w:hAnsi="等线" w:cs="Arial"/>
                <w:szCs w:val="21"/>
                <w:lang w:bidi="ar"/>
              </w:rPr>
              <w:t xml:space="preserve">肠癌</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1008"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1009"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1010"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Part2：结果汇总"/>
      <w:bookmarkEnd w:id="15"/>
      <w:bookmarkStart w:id="16" w:name="检测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2</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7</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MSS</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 xml:space="preserve">0</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 xml:space="preserve">8个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 xml:space="preserve">2</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1011"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 xml:space="preserve">检出</w:t>
            </w:r>
            <w:r>
              <w:rPr>
                <w:rFonts w:hAnsi="等线"/>
                <w:szCs w:val="21"/>
              </w:rPr>
              <w:t xml:space="preserve"> 2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Ansi="等线"/>
                <w:b/>
                <w:bCs w:val="0"/>
                <w:i/>
                <w:color w:val="404040"/>
                <w:sz w:val="18"/>
                <w:szCs w:val="18"/>
              </w:rPr>
            </w:pPr>
            <w:r>
              <w:rPr>
                <w:rFonts w:hint="eastAsia" w:ascii="等线" w:hAnsi="等线"/>
                <w:b/>
                <w:bCs w:val="0"/>
                <w:i/>
                <w:color w:val="404040"/>
                <w:kern w:val="2"/>
                <w:sz w:val="18"/>
                <w:szCs w:val="18"/>
                <w:lang w:bidi="ar"/>
              </w:rPr>
              <w:t xml:space="preserve">KRAS</w:t>
            </w:r>
          </w:p>
          <w:p>
            <w:pPr>
              <w:widowControl/>
              <w:jc w:val="center"/>
              <w:rPr>
                <w:rFonts w:hAnsi="等线" w:cs="宋体"/>
                <w:b w:val="0"/>
                <w:bCs/>
                <w:color w:val="000000"/>
                <w:sz w:val="18"/>
                <w:szCs w:val="18"/>
              </w:rPr>
            </w:pPr>
            <w:r>
              <w:rPr>
                <w:rFonts w:hint="eastAsia" w:hAnsi="等线" w:cs="宋体"/>
                <w:b/>
                <w:bCs/>
                <w:color w:val="404040"/>
                <w:sz w:val="18"/>
                <w:szCs w:val="18"/>
                <w:lang w:bidi="ar"/>
              </w:rPr>
              <w:t xml:space="preserve">p.G12D</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43.31%</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Irinotecan + 司美替尼【B 级】</w:t>
              <w:br/>
              <w:t xml:space="preserve">曲美替尼【C 级】</w:t>
              <w:br/>
              <w:t xml:space="preserve">考比替尼 + Ipatasertib【C 级】</w:t>
              <w:br/>
              <w:t xml:space="preserve">贝美替尼【C 级】</w:t>
              <w:br/>
              <w:t xml:space="preserve">曲美替尼【D 级】</w:t>
              <w:br/>
              <w:t xml:space="preserve">RMC-6236【D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西妥昔单抗【A 级】</w:t>
              <w:br/>
              <w:t xml:space="preserve">曲妥珠单抗 + 妥卡替尼【A 级】</w:t>
              <w:br/>
              <w:t xml:space="preserve">帕尼单抗【A 级】</w:t>
              <w:br/>
              <w:t xml:space="preserve">曲妥珠单抗 + 帕妥珠单抗【A 级】</w:t>
              <w:br/>
              <w:t xml:space="preserve">曲妥珠单抗 + 拉帕替尼【A 级】</w:t>
              <w:br/>
              <w:t xml:space="preserve">trastuzumab deruxtecan【A 级】</w:t>
              <w:br/>
              <w:t xml:space="preserve">EGFR-TKI【C 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Ansi="等线"/>
                <w:b/>
                <w:bCs w:val="0"/>
                <w:i/>
                <w:color w:val="404040"/>
                <w:sz w:val="18"/>
                <w:szCs w:val="18"/>
              </w:rPr>
            </w:pPr>
            <w:r>
              <w:rPr>
                <w:rFonts w:hint="eastAsia" w:ascii="等线" w:hAnsi="等线"/>
                <w:b/>
                <w:bCs w:val="0"/>
                <w:i/>
                <w:color w:val="404040"/>
                <w:kern w:val="2"/>
                <w:sz w:val="18"/>
                <w:szCs w:val="18"/>
                <w:lang w:bidi="ar"/>
              </w:rPr>
              <w:t xml:space="preserve">NF1</w:t>
            </w:r>
          </w:p>
          <w:p>
            <w:pPr>
              <w:widowControl/>
              <w:jc w:val="center"/>
              <w:rPr>
                <w:rFonts w:hAnsi="等线" w:cs="宋体"/>
                <w:b w:val="0"/>
                <w:bCs/>
                <w:color w:val="000000"/>
                <w:sz w:val="18"/>
                <w:szCs w:val="18"/>
              </w:rPr>
            </w:pPr>
            <w:r>
              <w:rPr>
                <w:rFonts w:hint="eastAsia" w:hAnsi="等线" w:cs="宋体"/>
                <w:b/>
                <w:bCs/>
                <w:color w:val="404040"/>
                <w:sz w:val="18"/>
                <w:szCs w:val="18"/>
                <w:lang w:bidi="ar"/>
              </w:rPr>
              <w:t xml:space="preserve">c.204+1G&gt;A</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1.27%</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司美替尼【C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曲美替尼【D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1012"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pPr>
            <w:r>
              <w:t xml:space="preserve">MSS</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Ansi="等线"/>
                <w:szCs w:val="21"/>
              </w:rPr>
            </w:pPr>
            <w:r>
              <w:t xml:space="preserve">对免疫检查点抑制剂可能不敏感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pPr>
            <w:r>
              <w:rPr>
                <w:rFonts w:hint="eastAsia"/>
              </w:rPr>
              <w:t xml:space="preserve">未检测到相关基因突变</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Ansi="等线"/>
                <w:szCs w:val="21"/>
              </w:rPr>
            </w:pPr>
            <w:r>
              <w:rPr>
                <w:rFonts w:hint="eastAsia" w:hAnsi="等线"/>
                <w:szCs w:val="21"/>
              </w:rPr>
              <w:t xml:space="preserve">对免疫检查点抑制剂可能不敏感</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3"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Cs w:val="21"/>
              </w:rPr>
            </w:pPr>
            <w:r>
              <w:rPr>
                <w:rFonts w:hint="eastAsia" w:hAnsi="等线"/>
                <w:szCs w:val="21"/>
              </w:rPr>
              <w:t xml:space="preserve">奥沙利铂,卡培他滨,替加氟,替吉奥,吉西他滨,伊立替康,紫杉醇,长春新碱</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Cs w:val="21"/>
              </w:rPr>
            </w:pPr>
            <w:r>
              <w:rPr>
                <w:rFonts w:hint="eastAsia" w:hAnsi="等线"/>
                <w:szCs w:val="21"/>
              </w:rPr>
              <w:t xml:space="preserve">环磷酰胺,卡铂,顺铂,甲氨蝶呤,多西他赛,多柔比星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Cs w:val="21"/>
              </w:rPr>
            </w:pPr>
            <w:r>
              <w:rPr>
                <w:rFonts w:hint="eastAsia" w:hAnsi="等线"/>
                <w:szCs w:val="21"/>
              </w:rPr>
              <w:t xml:space="preserve">氟尿嘧啶,培美曲塞,依托泊苷,长春瑞滨,丝裂霉素,表柔比星,昂丹司琼,格拉司琼</w:t>
            </w:r>
          </w:p>
        </w:tc>
      </w:tr>
      <w:bookmarkEnd w:id="24"/>
    </w:tbl>
    <w:p>
      <w:bookmarkStart w:id="25" w:name="_Toc89103144"/>
      <w:bookmarkStart w:id="26" w:name="_Toc45207811"/>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4"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 xml:space="preserve">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restart"/>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结直肠癌</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FOLFOX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伊立替康+亚叶酸钙+氟尿嘧啶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FOLFIRI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奥沙利铂+卡培他滨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CAPEOX（又称Xelox）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伊立替康+奥沙利铂+亚叶酸钙+氟尿嘧啶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FOLFOXIRI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伊立替康+卡培他滨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CapIRI或XELIRI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奥沙利铂+雷替曲塞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伊立替康+雷替曲塞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推荐</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5"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sz w:val="24"/>
                <w:szCs w:val="24"/>
              </w:rPr>
            </w:pPr>
            <w:r>
              <w:rPr>
                <w:rFonts w:hint="eastAsia" w:hAnsi="等线"/>
                <w:szCs w:val="21"/>
              </w:rPr>
              <w:t xml:space="preserve">APC p.R876X;p.E1353X</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szCs w:val="21"/>
              </w:rPr>
            </w:pPr>
            <w:r>
              <w:rPr>
                <w:rFonts w:hint="eastAsia" w:hAnsi="等线"/>
                <w:szCs w:val="21"/>
              </w:rPr>
              <w:t xml:space="preserve">家族性腺瘤样息肉病</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结直肠癌</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szCs w:val="21"/>
              </w:rPr>
            </w:pPr>
            <w:r>
              <w:rPr>
                <w:rFonts w:hint="eastAsia" w:hAnsi="等线"/>
                <w:szCs w:val="21"/>
              </w:rPr>
              <w:t xml:space="preserve">结直肠癌,胰腺癌,髓母细胞瘤,胃癌风险可能较高</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6"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BRAF</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ERBB2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扩增</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KRAS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
                <w:r>
                  <w:rPr>
                    <w:color w:val="FF0000"/>
                  </w:rPr>
                  <w:t xml:space="preserve">p.G12D(43.31%)</w:t>
                </w: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NRAS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NTRK1</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NTRK2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NTRK3</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RET</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Ref80371448"/>
      <w:bookmarkStart w:id="33" w:name="_Toc89103146"/>
      <w:bookmarkStart w:id="34" w:name="_Toc8137841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01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Toc89103147"/>
      <w:bookmarkStart w:id="37" w:name="_Toc81378419"/>
      <w:bookmarkStart w:id="38" w:name="_Ref80948822"/>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1018"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1019"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89103148"/>
      <w:bookmarkStart w:id="42" w:name="_Toc45207814"/>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0"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KRAS</w:t>
            </w:r>
          </w:p>
        </w:tc>
        <w:tc>
          <w:tcPr>
            <w:tcW w:w="128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NM_004985</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c.35G&gt;A</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p.G12D</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43.31%</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1"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NF1</w:t>
            </w:r>
          </w:p>
        </w:tc>
        <w:tc>
          <w:tcPr>
            <w:tcW w:w="128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NM_000267</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c.204+1G&gt;A</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1.27%</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45207815"/>
      <w:bookmarkStart w:id="46" w:name="_Toc89103149"/>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102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25"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48"/>
        <w:gridCol w:w="129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4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9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67" w:hRule="atLeast"/>
        </w:trPr>
        <w:tc>
          <w:tcPr>
            <w:tcW w:w="104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NTRK1</w:t>
            </w:r>
          </w:p>
        </w:tc>
        <w:tc>
          <w:tcPr>
            <w:tcW w:w="129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NM_002529</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c.551C&gt;T</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p.A184V</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exon5</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4.08%</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67" w:hRule="atLeast"/>
        </w:trPr>
        <w:tc>
          <w:tcPr>
            <w:tcW w:w="104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ALK</w:t>
            </w:r>
          </w:p>
        </w:tc>
        <w:tc>
          <w:tcPr>
            <w:tcW w:w="129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NM_004304</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c.386G&gt;T</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p.G129V</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exon1</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35.67%</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67" w:hRule="atLeast"/>
        </w:trPr>
        <w:tc>
          <w:tcPr>
            <w:tcW w:w="104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APC</w:t>
            </w:r>
          </w:p>
        </w:tc>
        <w:tc>
          <w:tcPr>
            <w:tcW w:w="129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NM_000038</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c.2626C&gt;T</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p.R876X</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exon16</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提前终止</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25.35%</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67" w:hRule="atLeast"/>
        </w:trPr>
        <w:tc>
          <w:tcPr>
            <w:tcW w:w="104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APC</w:t>
            </w:r>
          </w:p>
        </w:tc>
        <w:tc>
          <w:tcPr>
            <w:tcW w:w="129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NM_000038</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c.4057G&gt;T</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p.E1353X</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exon16</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提前终止</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34.46%</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3"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Ansi="等线"/>
                <w:b/>
                <w:bCs/>
                <w:color w:val="FFFFFF"/>
              </w:rPr>
            </w:pPr>
            <w:r>
              <w:rPr>
                <w:rFonts w:hint="eastAsia" w:hAnsi="等线"/>
                <w:b/>
                <w:bCs/>
                <w:color w:val="FFFFFF"/>
              </w:rPr>
              <w:t xml:space="preserve">基因变异：KRAS:NM_004985:exon2:c.35G&gt;A:p.G12D</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Ansi="等线" w:cs="等线"/>
                <w:b/>
                <w:bCs/>
                <w:color w:val="000000"/>
                <w:sz w:val="18"/>
                <w:szCs w:val="18"/>
              </w:rPr>
            </w:pPr>
            <w:r>
              <w:rPr>
                <w:rFonts w:hint="eastAsia" w:hAnsi="等线" w:cs="等线"/>
                <w:b/>
                <w:bCs/>
                <w:color w:val="000000"/>
                <w:sz w:val="18"/>
                <w:szCs w:val="18"/>
              </w:rPr>
              <w:t xml:space="preserve">基因功能: KRAS是小分子GTP酶RAS家族的成员，该家族催化GTP水解为GDP。在生理条件下，这些RAS蛋白在活性(GTP结合)和非活性(GDP结合)状态间循环，以激活受体酪氨酸激酶(RTK)下游的MAPK和PI3K致癌途径信号传导(PMID: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西妥昔单抗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Cetuximab是一种表皮生长因子受体(EGFR)拮抗剂，FDA指出Cetuximab不适用于RAS突变型或RAS突变情况未知的结直肠癌患者(FDA-approval: 11/2020)。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曲妥珠单抗 + 妥卡替尼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FDA推荐Trastuzumab + Tucatinib应用于携带HER2重复，RAS野生型的结直肠癌患者(NCCN: Rectal Cancer-Version 4.2022)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帕尼单抗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Panitumumab是一种表皮生长因子受体(EGFR)拮抗剂，FDA指出Panitumumab不适用于RAS突变型或RAS突变状态未知的转移性结直肠癌患者(FDA-approval: 06/2017)。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曲妥珠单抗 + 帕妥珠单抗,曲妥珠单抗 + 拉帕替尼,trastuzumab deruxtecan</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NCCN指南指出携带KRAS突变的结直肠癌患者对trastuzumab + pertuzumab,trastuzumab + lapatinib,trastuzumab deruxtecan治疗不敏感(NCCN: Colon Cancer-Version 2.2021)。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EGFR-TKI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NCCN指南指出携带KRAS、BRAF基因突变和ALK、ROS1融合的非小细胞肺癌患者可能对EGFR信号通路抑制剂类靶向药物耐药(NCCN: Non-Small Cell Lung Cancer-Version 6.2021)。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Irinotecan + 司美替尼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临床II期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在一项II期临床研究中，Selumetinib (AZD6244)联合Camptosar (伊立替康)导致9.7% (3/31)携带KRAS外显子2突变的结直肠癌患者部分反应，51.6% (16/31)患者病情稳定(PMID: 25322874)。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在一项I期临床试验中，8名患有结肠直肠癌的患者中包含3名携带KRAS突变的患者，在使用Mekinist（曲美替尼）治疗疾病稳定（PMID:22805291）。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考比替尼 + Ipatasertib</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在一项Ib期临床试验中，13例携带KRAS突变的晚期实体瘤肿瘤患者接受Cobimetinib+ipatasertib联合治疗后，2例部分缓解，3例病情稳定，6例疾病进展为最佳反应(PMID: 32737717)。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贝美替尼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在一项I期临床试验中，纳入21位晚期实体瘤患者接受Binimetinib治疗，其中8例患者携带KRAS突变。在纳入分析的18例患者中，14例患者病情稳定，包含4例携带KRAS突变患者(PMID: 27071922)。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在一项临床前研究中，曲美替尼可抑制BRAF V600E和KRAS突变肿瘤细胞系的增殖，其IC50值低于PD0325901或selumetinib，虽然曲美替尼和PD0325901在体外对MEK1具有相似的效力。与PD0325901相比，在这些浓度下用曲美替尼或CH5126766处理48小时，可在KRAS突变细胞(H2030)和表达活性CRAF数量增加的A375细胞中更持久地抑制pERK活性(PMID: 24746704)。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RMC-6236</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体外实验中，RMC-6236抑制了细胞生长，并诱导多种RAS癌细胞株凋亡，在临床前体内异种移植模型中，RMC-6236可抑制RAS通路的激活长达48小时。与健康组织相比RMC-6236对肿瘤组织的亲和力更高，在多种细胞系来源的异种移植模型（NSCLC、CRC和PDAC等）中RMC-6236对KRAS突变（特别是KRAS G12D, KRAS G12V和 KRAS G12R）均有明显也持久的肿瘤消退效果（Abstract: Koltun et al. Abstract# 3597, AACR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Ansi="等线"/>
                <w:b/>
                <w:bCs/>
                <w:color w:val="FFFFFF"/>
              </w:rPr>
            </w:pPr>
            <w:r>
              <w:rPr>
                <w:rFonts w:hint="eastAsia" w:hAnsi="等线"/>
                <w:b/>
                <w:bCs/>
                <w:color w:val="FFFFFF"/>
              </w:rPr>
              <w:t xml:space="preserve">基因变异：NF1:NM_000267:exon2:c.204+1G&gt;A</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Ansi="等线" w:cs="等线"/>
                <w:b/>
                <w:bCs/>
                <w:color w:val="000000"/>
                <w:sz w:val="18"/>
                <w:szCs w:val="18"/>
              </w:rPr>
            </w:pPr>
            <w:r>
              <w:rPr>
                <w:rFonts w:hint="eastAsia" w:hAnsi="等线" w:cs="等线"/>
                <w:b/>
                <w:bCs/>
                <w:color w:val="000000"/>
                <w:sz w:val="18"/>
                <w:szCs w:val="18"/>
              </w:rPr>
              <w:t xml:space="preserve">基因功能: 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9302992)。GAP相关结构域(GRD)是NF1的催化结构域，它仅占NF1蛋白约10％，但直接负责其GAP活性。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司美替尼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神经纤维瘤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Selumetinib是一种激酶抑制剂，FDA批准用于治疗2岁及以上患有1型神经纤维瘤(NF1)、有症状的、不能手术的丛状神经纤维瘤(PN)的儿童患者(FDA-approval: 04/2020)。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Nf1是一种肿瘤抑制因子，因此在肿瘤进展过程中神经纤维蛋白表达可能会降低.有研究发现，厄洛替尼耐药与神经纤维蛋白（由NF1基因编码的RAS GTP酶激活蛋白）表达减少有关.用MEK抑制剂治疗神经纤维蛋白缺陷肺癌恢复了对厄洛替尼的敏感性（PMID: 24535670）。一名24岁男性患者，有NF1相关视神经胶质瘤病史(4岁)，对替莫唑胺治疗后复发的肿瘤进行基因组分析发现以下异常：KDR扩增、KIT扩增、NF1剪接位点3870+1G&gt;T(预测产生截短蛋白)、PDGFRA扩增、CDKN2A/B丢失和ATRX剪接位点4809+1G&gt;a。接受MEK抑制剂(曲美替尼)治疗3周内，强化程度和肿块效应明显降低。治疗2个月后，MRI显示进一步改善，皮质类固醇完全停用。鉴于治疗难治性疾病，4 个月的持续临床获益优于其他标准治疗方案(PMID: 26936308)。一项临床实验在携带NF1功能缺失的黑色素瘤细胞系中，MEK抑制剂曲美替尼具有显著的抗肿瘤作用(PMID: 24576830)。一项Ⅱ期临床实验中评估了MAP/ERK激酶I/II抑制剂selumetinib（AZD6244，ARRY-142886）pLGG患者中的疗效，1型神经纤维瘤病（NF1）相关pLGG（WHO一级和二级）的儿童。25 名符合条件的可评估儿童被计入第 3 层。10/25 （40%） 患者实现了 PR，中位随访时间为 48.6 个月（8.6-59.1;IQR=12.2），对于没有进展的 17 名受试者（PMID: 31151904）。</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4"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restart"/>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可能敏感药物</w:t>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司美替尼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KOSELUGO是一种激酶抑制剂，适用于2岁及以上患有1型神经纤维瘤(NF1)、有症状的、不能手术的丛状神经纤维瘤(PN)的儿童患者。</w:t>
              <w:br/>
              <w:t xml:space="preserve">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曲美替尼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br/>
              <w:t xml:space="preserve">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考比替尼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COTELLIC是一种激酶抑制剂，其适应症为联合维莫非尼用于治疗携带BRAF V600E或V600K突变的不可切除性或转移性黑色素瘤。</w:t>
              <w:br/>
              <w:t xml:space="preserve">考比替尼(Cobimetinib)是一种靶向有丝分裂原活化蛋白激酶（MAPK）/细胞外信号调节激酶1（MEK1）和MEK2的可逆抑制剂。MEK蛋白是细胞外信号调节激酶(ERK)通路的上游调控蛋白，该通路可促进细胞增殖。BRAF V600E和K突变导致包括MEK1和MEK2在内的BRAF途径的组成性激活。在移植表达BRAF V600E肿瘤细胞系的小鼠中，考比替尼(Cobimetinib)抑制了肿瘤细胞的生长。考比替尼(Cobimetinib)和维罗非尼(Vemurafenib)靶向RAS/RAF/MEK/ERK通路的两种不同激酶。与单独使用这两种药物相比，考比替尼(Cobimetinib)和维罗非尼(Vemurafenib)联合用药在体外可增加细胞凋亡，在植入表达BRAF V600E突变的肿瘤细胞系的小鼠中可抑制肿瘤生长。此外,在小鼠肿瘤细胞移植模型中,考比替尼(Cobimetinib)还可以阻止维罗非尼(Vemurafenib)介导的野生型BRAF肿瘤细胞系的生长。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Ipatasertib</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Ipatasertib是一种高度选择性的口服ATP竞争性小分子AKT抑制剂.在细胞系和异种移植模型中，ipatasertib在多种癌症类型，包括前列腺癌，乳腺癌，卵巢癌，结肠直肠癌和非小细胞肺癌中都表现出了抗癌活性。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贝美替尼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MEKTOVI是一种激酶抑制剂，联合康奈非尼用于治疗BRAF V600E或V600K突变的不可切除性或转移性黑色素瘤。</w:t>
              <w:br/>
              <w:t xml:space="preserve">贝美替尼(Binimetinib)是一种有丝分裂原激活的细胞外信号调节激酶1（MEK1）和MEK2活性的可逆抑制剂。MEK蛋白是细胞外信号相关激酶（ERK）途径的上游调控蛋白。在体外，贝美替尼(Binimetinib)在非细胞试验中能抑制细胞外信号相关激酶(ERK)的磷酸化，并抑制了BRAF突变型人黑素瘤细胞系的活力和MEK依赖性磷酸化。在BRAF突变的小鼠异种移植瘤模型中，贝美替尼(Binimetinib)也能抑制体内ERK磷酸化和肿瘤生长。贝美替尼(Binimetinib)和康奈非尼(Encorafenib)靶向RAS/RAF/MEK/ERK通路的两种不同激酶。与单独使用任何一种药物相比，康奈非尼(Encorafenib)和贝美替尼(Binimetinib)联合用药在体外对BRAF突变阳性细胞系产生更强的抗增殖活性，且在BRAF V600E突变型人类黑色素瘤小鼠异种移植研究中，对肿瘤生长抑制显示出更强的抗肿瘤活性。此外，与单独使用两种药物相比，联合使用贝美替尼(Binimetinib)和康奈非尼(Encorafenib)延缓了BRAF V600E突变型人黑色素瘤小鼠异种移植瘤模型耐药性的出现。</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restart"/>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可能耐药药物</w:t>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西妥昔单抗</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br/>
              <w:t xml:space="preserve">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曲妥珠单抗</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Herceptin是一种HER2/neu受体拮抗剂，其适应症为：1.HER2过表达的乳腺癌。2.HER2过表达的转移性胃或胃食管交界处腺癌。</w:t>
              <w:br/>
              <w:t xml:space="preserve">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妥卡替尼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br/>
              <w:t xml:space="preserve">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帕尼单抗</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br/>
              <w:t xml:space="preserve">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帕妥珠单抗</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PERJETA是一种HER2/neu受体拮抗剂，其适应症为：1.联合曲妥珠单抗和多西紫杉醇用于治疗既往未接受过抗HER2治疗或转移性疾病化疗的HER2阳性转移性乳腺癌(MBC)。2.联合曲妥珠单抗和化疗用于：(1)HER2阳性的局部晚期、炎性或早期乳腺癌(直径大于2cm或淋巴结阳性)的新辅助治疗，作为早期乳腺癌整体治疗方案的一部分。(2)具有复发高风险的HER2阳性早期乳腺癌的辅助治疗。</w:t>
              <w:br/>
              <w:t xml:space="preserve">帕妥珠单抗（Pertuzumab）靶向细胞外人表皮生长因子受体2蛋白（HER2）的二聚化结构域（子结构域Ⅱ），从而阻断HER2与其它HER家族成员（包括EGFR、HER3和HER4）的配体依赖性异源二聚化作用。结果，帕妥珠单抗（Pertuzumab）通过两条主要信号途径（有丝分裂原激活蛋白[MAP]激酶和磷酸肌醇3激酶[PI3K]）抑制配体启动的细胞内信号传导。这些信号通路的抑制分别导致细胞生长停滞和凋亡。此外，帕妥珠单抗（Pertuzumab）介导抗体依赖性细胞介导的细胞毒性作用（ADCC）。尽管单独使用帕妥珠单抗（Pertuzumab）能抑制人肿瘤细胞的增殖，但在过表达HER2的异种移植模型中，帕妥珠单抗（Pertuzumab）和曲妥珠单抗（Trastuzumab）联合可以增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拉帕替尼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br/>
              <w:t xml:space="preserve">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1025"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Toc81378420"/>
      <w:bookmarkStart w:id="53" w:name="_Toc89103152"/>
      <w:bookmarkStart w:id="54" w:name="_Ref80371472"/>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26"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TMB结果注释"/>
      <w:bookmarkEnd w:id="58"/>
      <w:bookmarkStart w:id="59" w:name="MSI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1027"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Arial"/>
                <w:b/>
                <w:bCs w:val="0"/>
                <w:sz w:val="20"/>
                <w:szCs w:val="20"/>
              </w:rPr>
            </w:pPr>
            <w:r>
              <w:rPr>
                <w:rFonts w:hint="eastAsia" w:hAnsi="等线" w:cs="Arial"/>
                <w:b/>
                <w:bCs w:val="0"/>
                <w:sz w:val="20"/>
                <w:szCs w:val="20"/>
                <w:lang w:bidi="ar"/>
              </w:rPr>
              <w:t xml:space="preserve">18</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Arial"/>
                <w:b/>
                <w:sz w:val="20"/>
                <w:szCs w:val="20"/>
              </w:rPr>
            </w:pPr>
            <w:r>
              <w:rPr>
                <w:rFonts w:hint="eastAsia" w:hAnsi="等线" w:cs="Arial"/>
                <w:b/>
                <w:sz w:val="20"/>
                <w:szCs w:val="20"/>
                <w:lang w:bidi="ar"/>
              </w:rPr>
              <w:t xml:space="preserve">0.0</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Arial"/>
                <w:b/>
                <w:sz w:val="20"/>
                <w:szCs w:val="20"/>
              </w:rPr>
            </w:pPr>
            <w:r>
              <w:rPr>
                <w:rFonts w:hint="eastAsia" w:hAnsi="等线" w:cs="Arial"/>
                <w:b/>
                <w:sz w:val="20"/>
                <w:szCs w:val="20"/>
                <w:lang w:bidi="ar"/>
              </w:rPr>
              <w:t xml:space="preserve">MSS</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1028"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1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b w:val="0"/>
                <w:bCs w:val="0"/>
                <w:color w:val="404040"/>
                <w:sz w:val="20"/>
                <w:szCs w:val="20"/>
              </w:rPr>
            </w:pPr>
            <w:r>
              <w:rPr>
                <w:rFonts w:hint="eastAsia" w:hAnsi="等线" w:cs="宋体"/>
                <w:b/>
                <w:bCs/>
                <w:color w:val="404040"/>
                <w:sz w:val="20"/>
                <w:szCs w:val="20"/>
                <w:lang w:bidi="ar"/>
              </w:rPr>
              <w:t xml:space="preserve">/</w:t>
            </w:r>
          </w:p>
        </w:tc>
        <w:tc>
          <w:tcPr>
            <w:tcW w:w="1587" w:type="dxa"/>
            <w:tcBorders>
              <w:top w:val="single" w:color="FFFFFF" w:sz="24" w:space="0"/>
              <w:left w:val="single" w:color="FFFFFF" w:sz="24" w:space="0"/>
              <w:bottom w:val="single" w:color="FFFFFF" w:sz="24" w:space="0"/>
              <w:right w:val="single" w:color="FFFFFF" w:sz="24" w:space="0"/>
            </w:tcBorders>
            <w:shd w:val="clear" w:color="auto" w:fill="F2F2F2"/>
            <w:textDirection w:val="lrTbV"/>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c>
          <w:tcPr>
            <w:tcW w:w="142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c>
          <w:tcPr>
            <w:tcW w:w="140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c>
          <w:tcPr>
            <w:tcW w:w="126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c>
          <w:tcPr>
            <w:tcW w:w="155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HLA分型结果"/>
      <w:bookmarkEnd w:id="63"/>
      <w:bookmarkStart w:id="64" w:name="正向预测"/>
      <w:bookmarkEnd w:id="64"/>
      <w:bookmarkStart w:id="65" w:name="抗原负荷TNB检测结果"/>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1029"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1030"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031"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1032"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79"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17"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6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79"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17"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68"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环磷酰胺</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疗效一般</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2</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卡铂</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3</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奥沙利铂</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疗效较好,毒副一般</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4</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顺铂</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5</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卡培他滨</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毒副较低</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6</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替加氟</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7</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替吉奥</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毒副较低</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8</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氟尿嘧啶</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9</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吉西他滨</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毒副较低</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10</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培美曲塞</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11</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甲氨蝶呤</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毒副一般</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12</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伊立替康</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13</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依托泊苷</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毒副较高</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14</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多西他赛</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15</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紫杉醇</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疗效较好,毒副较低</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16</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长春新碱</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17</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长春瑞滨</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18</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丝裂霉素</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19</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多柔比星</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疗效较差,毒副较低</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20</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表柔比星</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疗效较差,毒副一般</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21</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昂丹司琼</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22</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格拉司琼</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bookmarkStart w:id="109" w:name="_GoBack"/>
      <w:bookmarkEnd w:id="109"/>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1033"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环磷酰胺</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SOD2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rs4880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顺铂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XPC</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rs2228001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TPMT</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rs1142345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奥沙利铂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ERCC2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rs13181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卡铂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氟尿嘧啶</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替吉奥</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替加氟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卡培他滨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培美曲塞</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吉西他滨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CDA</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rs2072671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甲氨蝶呤</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2A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紫杉醇</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CYP2C8</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rs11572080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伊立替康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rs3064744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TA[6]/TA[6]</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rs4148323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多西他赛</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CYP3A4</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rs2740574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长春瑞滨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依托泊苷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DYNC2H1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rs716274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长春新碱</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表柔比星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丝裂霉素</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多柔比星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昂丹司琼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格拉司琼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4"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35"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36"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b w:val="0"/>
                <w:bCs w:val="0"/>
                <w:sz w:val="20"/>
                <w:szCs w:val="20"/>
              </w:rPr>
            </w:pPr>
            <w:r>
              <w:rPr>
                <w:rFonts w:hint="eastAsia" w:hAnsi="等线" w:cs="等线"/>
                <w:b w:val="0"/>
                <w:bCs w:val="0"/>
                <w:sz w:val="20"/>
                <w:szCs w:val="20"/>
                <w:lang w:bidi="ar"/>
              </w:rPr>
              <w:t xml:space="preserve">APC</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家族性腺瘤样息肉病</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AD</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杂合;杂合</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p.R876X;p.E1353X</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103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1038"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Ansi="等线" w:cs="等线"/>
                <w:color w:val="000000"/>
                <w:kern w:val="0"/>
                <w:sz w:val="20"/>
                <w:szCs w:val="20"/>
              </w:rPr>
            </w:pPr>
            <w:r>
              <w:rPr>
                <w:rFonts w:hint="eastAsia" w:hAnsi="等线" w:cs="等线"/>
                <w:color w:val="404040"/>
                <w:sz w:val="20"/>
                <w:szCs w:val="20"/>
                <w:lang w:bidi="ar"/>
              </w:rPr>
              <w:t xml:space="preserve">94.94</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Ansi="等线" w:cs="等线"/>
                <w:color w:val="000000"/>
                <w:kern w:val="0"/>
                <w:sz w:val="20"/>
                <w:szCs w:val="20"/>
              </w:rPr>
            </w:pPr>
            <w:r>
              <w:rPr>
                <w:rFonts w:hint="eastAsia" w:hAnsi="等线" w:cs="等线"/>
                <w:color w:val="404040"/>
                <w:sz w:val="20"/>
                <w:szCs w:val="20"/>
                <w:lang w:bidi="ar"/>
              </w:rPr>
              <w:t xml:space="preserve">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Ansi="等线" w:cs="等线"/>
                <w:color w:val="000000"/>
                <w:kern w:val="0"/>
                <w:sz w:val="20"/>
                <w:szCs w:val="20"/>
              </w:rPr>
            </w:pPr>
            <w:r>
              <w:rPr>
                <w:rFonts w:hint="eastAsia" w:hAnsi="等线" w:cs="等线"/>
                <w:color w:val="404040"/>
                <w:sz w:val="20"/>
                <w:szCs w:val="20"/>
                <w:lang w:bidi="ar"/>
              </w:rPr>
              <w:t xml:space="preserve">1927.98</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Ansi="等线" w:cs="等线"/>
                <w:color w:val="000000"/>
                <w:kern w:val="0"/>
                <w:sz w:val="20"/>
                <w:szCs w:val="20"/>
              </w:rPr>
            </w:pPr>
            <w:r>
              <w:rPr>
                <w:rFonts w:hint="eastAsia" w:hAnsi="等线" w:cs="等线"/>
                <w:color w:val="404040"/>
                <w:sz w:val="20"/>
                <w:szCs w:val="20"/>
                <w:lang w:bidi="ar"/>
              </w:rPr>
              <w:t xml:space="preserve">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Ansi="等线" w:cs="等线"/>
                <w:color w:val="000000"/>
                <w:kern w:val="0"/>
                <w:sz w:val="20"/>
                <w:szCs w:val="20"/>
              </w:rPr>
            </w:pPr>
            <w:r>
              <w:rPr>
                <w:rFonts w:hint="eastAsia" w:hAnsi="等线" w:cs="等线"/>
                <w:color w:val="404040"/>
                <w:sz w:val="20"/>
                <w:szCs w:val="20"/>
                <w:lang w:bidi="ar"/>
              </w:rPr>
              <w:t xml:space="preserve">99.5</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Ansi="等线" w:cs="等线"/>
                <w:color w:val="000000"/>
                <w:kern w:val="0"/>
                <w:sz w:val="20"/>
                <w:szCs w:val="20"/>
              </w:rPr>
            </w:pPr>
            <w:r>
              <w:rPr>
                <w:rFonts w:hint="eastAsia" w:hAnsi="等线" w:cs="等线"/>
                <w:color w:val="404040"/>
                <w:sz w:val="20"/>
                <w:szCs w:val="20"/>
                <w:lang w:bidi="ar"/>
              </w:rPr>
              <w:t xml:space="preserve">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Ansi="等线" w:cs="等线"/>
                <w:color w:val="000000"/>
                <w:kern w:val="0"/>
                <w:sz w:val="20"/>
                <w:szCs w:val="20"/>
              </w:rPr>
            </w:pPr>
            <w:r>
              <w:rPr>
                <w:rFonts w:hint="eastAsia" w:hAnsi="等线" w:cs="等线"/>
                <w:color w:val="404040"/>
                <w:sz w:val="20"/>
                <w:szCs w:val="20"/>
                <w:lang w:bidi="ar"/>
              </w:rPr>
              <w:t xml:space="preserve">合格</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1039"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1040"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693"/>
        <w:gridCol w:w="36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检测日期：</w:t>
            </w:r>
            <w:r>
              <w:rPr>
                <w:rFonts w:hint="eastAsia" w:hAnsi="等线"/>
                <w:szCs w:val="21"/>
                <w:lang w:bidi="ar"/>
              </w:rPr>
              <w:t xml:space="preserve">2022-07-06</w:t>
            </w:r>
          </w:p>
        </w:tc>
        <w:tc>
          <w:tcPr>
            <w:tcW w:w="4814" w:type="dxa"/>
          </w:tcPr>
          <w:p>
            <w:pPr>
              <w:snapToGrid w:val="0"/>
              <w:spacing w:before="120" w:after="120" w:line="300" w:lineRule="auto"/>
              <w:jc w:val="left"/>
              <w:rPr>
                <w:rFonts w:hAnsi="等线"/>
                <w:szCs w:val="21"/>
              </w:rPr>
            </w:pPr>
            <w:r>
              <w:rPr>
                <w:rFonts w:hint="eastAsia" w:hAnsi="等线"/>
                <w:szCs w:val="21"/>
              </w:rPr>
              <w:t>审核日期：</w:t>
            </w:r>
            <w:r>
              <w:rPr>
                <w:rFonts w:hint="eastAsia" w:hAnsi="等线"/>
                <w:szCs w:val="21"/>
                <w:lang w:bidi="ar"/>
              </w:rPr>
              <w:t xml:space="preserve">2023-06-25</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Toc81378421"/>
      <w:bookmarkStart w:id="83" w:name="_Ref80948838"/>
      <w:bookmarkStart w:id="84" w:name="_Ref80371497"/>
      <w:bookmarkStart w:id="85" w:name="_Toc89103164"/>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Ref80371507"/>
      <w:bookmarkStart w:id="88" w:name="_Toc81378423"/>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1041"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1042"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043"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1044"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045"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046"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1047"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Toc81378424"/>
      <w:bookmarkStart w:id="94" w:name="_Ref80371515"/>
      <w:bookmarkStart w:id="95" w:name="_Ref80371523"/>
      <w:bookmarkStart w:id="96" w:name="_Toc81378425"/>
      <w:bookmarkStart w:id="97" w:name="_Ref80948870"/>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1048"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4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遗传性肿瘤综合征介绍"/>
      <w:bookmarkEnd w:id="102"/>
      <w:bookmarkStart w:id="103" w:name="肺癌多靶点药物"/>
      <w:bookmarkEnd w:id="103"/>
      <w:bookmarkStart w:id="104" w:name="_Toc89103168"/>
      <w:bookmarkStart w:id="105" w:name="_Toc81378427"/>
      <w:bookmarkStart w:id="106" w:name="_Ref80371543"/>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5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1051"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&amp;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&amp;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&amp;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&amp;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&amp;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&amp;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&amp;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&amp;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&amp;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&amp;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&amp;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Ansi="等线"/>
              <w:sz w:val="20"/>
              <w:szCs w:val="21"/>
            </w:rPr>
          </w:pPr>
          <w:r>
            <w:rPr>
              <w:rFonts w:hint="eastAsia" w:hAnsi="等线" w:cs="Arial"/>
              <w:color w:val="000000"/>
              <w:sz w:val="20"/>
              <w:szCs w:val="20"/>
            </w:rPr>
            <w:t xml:space="preserve">江杰</w:t>
          </w:r>
        </w:p>
      </w:tc>
      <w:tc>
        <w:tcPr>
          <w:tcW w:w="2268" w:type="dxa"/>
        </w:tcPr>
        <w:p>
          <w:pPr>
            <w:rPr>
              <w:rFonts w:hAnsi="等线"/>
              <w:sz w:val="20"/>
              <w:szCs w:val="21"/>
            </w:rPr>
          </w:pPr>
          <w:r>
            <w:rPr>
              <w:rFonts w:hint="eastAsia" w:hAnsi="等线"/>
              <w:sz w:val="20"/>
              <w:szCs w:val="21"/>
            </w:rPr>
            <w:t>样本编号：</w:t>
          </w:r>
        </w:p>
        <w:p>
          <w:pPr>
            <w:spacing w:before="36" w:beforeLines="15"/>
            <w:rPr>
              <w:rFonts w:hAnsi="等线"/>
              <w:sz w:val="20"/>
              <w:szCs w:val="21"/>
            </w:rPr>
          </w:pPr>
          <w:r>
            <w:rPr>
              <w:rFonts w:hint="eastAsia" w:hAnsi="等线" w:cs="Arial"/>
              <w:color w:val="000000"/>
              <w:sz w:val="20"/>
              <w:szCs w:val="20"/>
              <w:lang w:bidi="ar"/>
            </w:rPr>
            <w:t xml:space="preserve">BC-20220705</w:t>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Ansi="等线"/>
              <w:sz w:val="20"/>
              <w:szCs w:val="21"/>
            </w:rPr>
          </w:pPr>
          <w:r>
            <w:rPr>
              <w:rFonts w:hint="eastAsia" w:hAnsi="等线" w:cs="Arial"/>
              <w:color w:val="000000"/>
              <w:sz w:val="20"/>
              <w:szCs w:val="20"/>
            </w:rPr>
            <w:t xml:space="preserve">江杰</w:t>
          </w:r>
        </w:p>
      </w:tc>
      <w:tc>
        <w:tcPr>
          <w:tcW w:w="2268" w:type="dxa"/>
        </w:tcPr>
        <w:p>
          <w:pPr>
            <w:rPr>
              <w:rFonts w:hAnsi="等线"/>
              <w:sz w:val="20"/>
              <w:szCs w:val="21"/>
            </w:rPr>
          </w:pPr>
          <w:r>
            <w:rPr>
              <w:rFonts w:hint="eastAsia" w:hAnsi="等线"/>
              <w:sz w:val="20"/>
              <w:szCs w:val="21"/>
            </w:rPr>
            <w:t>样本编号：</w:t>
          </w:r>
        </w:p>
        <w:p>
          <w:pPr>
            <w:spacing w:before="36" w:beforeLines="15"/>
            <w:rPr>
              <w:rFonts w:hAnsi="等线"/>
              <w:sz w:val="20"/>
              <w:szCs w:val="21"/>
            </w:rPr>
          </w:pPr>
          <w:r>
            <w:rPr>
              <w:rFonts w:hint="eastAsia" w:hAnsi="等线" w:cs="Arial"/>
              <w:color w:val="000000"/>
              <w:sz w:val="20"/>
              <w:szCs w:val="20"/>
              <w:lang w:bidi="ar"/>
            </w:rPr>
            <w:t xml:space="preserve">BC-20220705</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iNmQyMzFlNzIyYmRmZDViMWNlZGQ3MTA2OGMyZWI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A5753F"/>
    <w:rsid w:val="04CA006A"/>
    <w:rsid w:val="04CC2506"/>
    <w:rsid w:val="04E17DA6"/>
    <w:rsid w:val="04FB65F3"/>
    <w:rsid w:val="05023FDC"/>
    <w:rsid w:val="0512745A"/>
    <w:rsid w:val="0571302A"/>
    <w:rsid w:val="05A90ADD"/>
    <w:rsid w:val="05BC53EA"/>
    <w:rsid w:val="05FC7241"/>
    <w:rsid w:val="06675138"/>
    <w:rsid w:val="066D1DCC"/>
    <w:rsid w:val="06D35242"/>
    <w:rsid w:val="06D63EA0"/>
    <w:rsid w:val="06F12DC1"/>
    <w:rsid w:val="075849E4"/>
    <w:rsid w:val="0788352A"/>
    <w:rsid w:val="07977E87"/>
    <w:rsid w:val="07B15FEB"/>
    <w:rsid w:val="07B51763"/>
    <w:rsid w:val="07C34679"/>
    <w:rsid w:val="07D07F88"/>
    <w:rsid w:val="07DD1DB1"/>
    <w:rsid w:val="07E604A3"/>
    <w:rsid w:val="08277403"/>
    <w:rsid w:val="085936D3"/>
    <w:rsid w:val="08767CB7"/>
    <w:rsid w:val="08EA1265"/>
    <w:rsid w:val="08FC4534"/>
    <w:rsid w:val="09BD281D"/>
    <w:rsid w:val="0A473463"/>
    <w:rsid w:val="0A79371E"/>
    <w:rsid w:val="0B062CD9"/>
    <w:rsid w:val="0B165180"/>
    <w:rsid w:val="0BE254BB"/>
    <w:rsid w:val="0BF43856"/>
    <w:rsid w:val="0C106DE6"/>
    <w:rsid w:val="0C225054"/>
    <w:rsid w:val="0C2575F0"/>
    <w:rsid w:val="0C5F50DE"/>
    <w:rsid w:val="0CFD4EF6"/>
    <w:rsid w:val="0D0768A1"/>
    <w:rsid w:val="0D3618C9"/>
    <w:rsid w:val="0D4861C9"/>
    <w:rsid w:val="0D4B462F"/>
    <w:rsid w:val="0D946F1C"/>
    <w:rsid w:val="0DAD574B"/>
    <w:rsid w:val="0DB9673F"/>
    <w:rsid w:val="0DDF46F8"/>
    <w:rsid w:val="0DFB4177"/>
    <w:rsid w:val="0DFC158E"/>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776D02"/>
    <w:rsid w:val="13F55CBF"/>
    <w:rsid w:val="14572DC0"/>
    <w:rsid w:val="14EB6B49"/>
    <w:rsid w:val="150D4AD1"/>
    <w:rsid w:val="15237A5E"/>
    <w:rsid w:val="156628FE"/>
    <w:rsid w:val="16442E4A"/>
    <w:rsid w:val="164B1F1A"/>
    <w:rsid w:val="165F1F3B"/>
    <w:rsid w:val="16653911"/>
    <w:rsid w:val="16812211"/>
    <w:rsid w:val="16975291"/>
    <w:rsid w:val="16FB23A6"/>
    <w:rsid w:val="17095A57"/>
    <w:rsid w:val="17196035"/>
    <w:rsid w:val="172E642C"/>
    <w:rsid w:val="17546682"/>
    <w:rsid w:val="178F388B"/>
    <w:rsid w:val="17922E91"/>
    <w:rsid w:val="17AE67F6"/>
    <w:rsid w:val="17F36A31"/>
    <w:rsid w:val="18592295"/>
    <w:rsid w:val="18613C12"/>
    <w:rsid w:val="18A30F3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40E97"/>
    <w:rsid w:val="1F904EB4"/>
    <w:rsid w:val="1FE30889"/>
    <w:rsid w:val="1FF11C57"/>
    <w:rsid w:val="203329CD"/>
    <w:rsid w:val="20715AAF"/>
    <w:rsid w:val="214F1F1D"/>
    <w:rsid w:val="215240CB"/>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40628E9"/>
    <w:rsid w:val="24270B26"/>
    <w:rsid w:val="2432352D"/>
    <w:rsid w:val="24B00F26"/>
    <w:rsid w:val="24D46A1F"/>
    <w:rsid w:val="24EC72D5"/>
    <w:rsid w:val="251B2C17"/>
    <w:rsid w:val="25591B81"/>
    <w:rsid w:val="259F55D2"/>
    <w:rsid w:val="260C66B5"/>
    <w:rsid w:val="2619439D"/>
    <w:rsid w:val="26590E4C"/>
    <w:rsid w:val="26D54803"/>
    <w:rsid w:val="26F24C8B"/>
    <w:rsid w:val="26F82606"/>
    <w:rsid w:val="272B7390"/>
    <w:rsid w:val="27666785"/>
    <w:rsid w:val="27955621"/>
    <w:rsid w:val="27A10D5C"/>
    <w:rsid w:val="27A6668F"/>
    <w:rsid w:val="27A831DA"/>
    <w:rsid w:val="27BC0CF9"/>
    <w:rsid w:val="27CE48D0"/>
    <w:rsid w:val="286766E4"/>
    <w:rsid w:val="28780AA8"/>
    <w:rsid w:val="288538E0"/>
    <w:rsid w:val="28B25465"/>
    <w:rsid w:val="28D81911"/>
    <w:rsid w:val="291A06DD"/>
    <w:rsid w:val="298C62B1"/>
    <w:rsid w:val="2A173FA7"/>
    <w:rsid w:val="2A1918F8"/>
    <w:rsid w:val="2A550D9E"/>
    <w:rsid w:val="2A737306"/>
    <w:rsid w:val="2AB31AE1"/>
    <w:rsid w:val="2ACD656D"/>
    <w:rsid w:val="2B333424"/>
    <w:rsid w:val="2BB06E96"/>
    <w:rsid w:val="2C2A429A"/>
    <w:rsid w:val="2C8D7E9A"/>
    <w:rsid w:val="2CAB5719"/>
    <w:rsid w:val="2CE63FAE"/>
    <w:rsid w:val="2D0B680A"/>
    <w:rsid w:val="2D127131"/>
    <w:rsid w:val="2D1E5FF6"/>
    <w:rsid w:val="2D39592C"/>
    <w:rsid w:val="2D4B6E04"/>
    <w:rsid w:val="2D912CCB"/>
    <w:rsid w:val="2DD52983"/>
    <w:rsid w:val="2E363BE7"/>
    <w:rsid w:val="2E5A2A3F"/>
    <w:rsid w:val="2E636B77"/>
    <w:rsid w:val="2E781EF2"/>
    <w:rsid w:val="2EB15996"/>
    <w:rsid w:val="2EBB1918"/>
    <w:rsid w:val="2ED67CE8"/>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846323"/>
    <w:rsid w:val="38926BFE"/>
    <w:rsid w:val="38B54ECB"/>
    <w:rsid w:val="38D00A74"/>
    <w:rsid w:val="396114CC"/>
    <w:rsid w:val="397E6A4F"/>
    <w:rsid w:val="398513BC"/>
    <w:rsid w:val="399934CC"/>
    <w:rsid w:val="39C4260D"/>
    <w:rsid w:val="39CD08CE"/>
    <w:rsid w:val="39CD0CF6"/>
    <w:rsid w:val="3A195335"/>
    <w:rsid w:val="3A44537C"/>
    <w:rsid w:val="3A541B29"/>
    <w:rsid w:val="3A6D66F0"/>
    <w:rsid w:val="3A8D3303"/>
    <w:rsid w:val="3A9B4B9B"/>
    <w:rsid w:val="3AA350D6"/>
    <w:rsid w:val="3AAD3535"/>
    <w:rsid w:val="3AB15248"/>
    <w:rsid w:val="3AED48E7"/>
    <w:rsid w:val="3B0246E0"/>
    <w:rsid w:val="3B0F4A23"/>
    <w:rsid w:val="3B34348E"/>
    <w:rsid w:val="3B7C7689"/>
    <w:rsid w:val="3B93532B"/>
    <w:rsid w:val="3C413159"/>
    <w:rsid w:val="3C442E3A"/>
    <w:rsid w:val="3C47508C"/>
    <w:rsid w:val="3C7C5161"/>
    <w:rsid w:val="3C822127"/>
    <w:rsid w:val="3D5C2B92"/>
    <w:rsid w:val="3D9F2EDD"/>
    <w:rsid w:val="3DC64DFA"/>
    <w:rsid w:val="3E992908"/>
    <w:rsid w:val="3EA32667"/>
    <w:rsid w:val="3EE446D0"/>
    <w:rsid w:val="3F045795"/>
    <w:rsid w:val="3F0F4401"/>
    <w:rsid w:val="3F454161"/>
    <w:rsid w:val="3F650535"/>
    <w:rsid w:val="3F6E56CB"/>
    <w:rsid w:val="3FA24C30"/>
    <w:rsid w:val="3FF91AA4"/>
    <w:rsid w:val="400D3876"/>
    <w:rsid w:val="40742B57"/>
    <w:rsid w:val="40864997"/>
    <w:rsid w:val="40A35119"/>
    <w:rsid w:val="40E2489F"/>
    <w:rsid w:val="40F77B80"/>
    <w:rsid w:val="4120166C"/>
    <w:rsid w:val="41335CF0"/>
    <w:rsid w:val="41453C8F"/>
    <w:rsid w:val="414756A0"/>
    <w:rsid w:val="419854ED"/>
    <w:rsid w:val="41AB0A42"/>
    <w:rsid w:val="42333613"/>
    <w:rsid w:val="4285053C"/>
    <w:rsid w:val="42D01C85"/>
    <w:rsid w:val="42E61FC6"/>
    <w:rsid w:val="432D0575"/>
    <w:rsid w:val="43B7529F"/>
    <w:rsid w:val="43F17A30"/>
    <w:rsid w:val="43F44F91"/>
    <w:rsid w:val="44A96C67"/>
    <w:rsid w:val="45866DBE"/>
    <w:rsid w:val="458C7B99"/>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A2148"/>
    <w:rsid w:val="4B4F4C5F"/>
    <w:rsid w:val="4B694515"/>
    <w:rsid w:val="4B784F02"/>
    <w:rsid w:val="4B7F3000"/>
    <w:rsid w:val="4B971B7C"/>
    <w:rsid w:val="4C18596C"/>
    <w:rsid w:val="4C217631"/>
    <w:rsid w:val="4C371FA0"/>
    <w:rsid w:val="4C3F5C06"/>
    <w:rsid w:val="4C712A87"/>
    <w:rsid w:val="4CAB45AD"/>
    <w:rsid w:val="4CF90CD7"/>
    <w:rsid w:val="4D4D1D18"/>
    <w:rsid w:val="4D646055"/>
    <w:rsid w:val="4D865120"/>
    <w:rsid w:val="4DA97FC4"/>
    <w:rsid w:val="4DD0306A"/>
    <w:rsid w:val="4E0A3F2F"/>
    <w:rsid w:val="4E215C75"/>
    <w:rsid w:val="4EBB3F9B"/>
    <w:rsid w:val="4EF32ECE"/>
    <w:rsid w:val="4EFB4B74"/>
    <w:rsid w:val="4F4330EC"/>
    <w:rsid w:val="4FFA529B"/>
    <w:rsid w:val="50695554"/>
    <w:rsid w:val="50AA6C07"/>
    <w:rsid w:val="50BA5154"/>
    <w:rsid w:val="50DD2157"/>
    <w:rsid w:val="51130D4B"/>
    <w:rsid w:val="51397F23"/>
    <w:rsid w:val="515C5E28"/>
    <w:rsid w:val="516F13BA"/>
    <w:rsid w:val="519733BF"/>
    <w:rsid w:val="51C02CB5"/>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E26A1F"/>
    <w:rsid w:val="55F37050"/>
    <w:rsid w:val="56353298"/>
    <w:rsid w:val="565460FF"/>
    <w:rsid w:val="56575158"/>
    <w:rsid w:val="56AF5345"/>
    <w:rsid w:val="571A5521"/>
    <w:rsid w:val="57881BC6"/>
    <w:rsid w:val="578C70B7"/>
    <w:rsid w:val="57A81AE1"/>
    <w:rsid w:val="57B641B5"/>
    <w:rsid w:val="5800058A"/>
    <w:rsid w:val="58085F05"/>
    <w:rsid w:val="58241620"/>
    <w:rsid w:val="58892D3B"/>
    <w:rsid w:val="589A41C6"/>
    <w:rsid w:val="58ED46D8"/>
    <w:rsid w:val="59147DB3"/>
    <w:rsid w:val="5917019C"/>
    <w:rsid w:val="595E3A7D"/>
    <w:rsid w:val="59912369"/>
    <w:rsid w:val="59AA75C6"/>
    <w:rsid w:val="59AD307A"/>
    <w:rsid w:val="59AD357B"/>
    <w:rsid w:val="59E57F5B"/>
    <w:rsid w:val="5A3E40F8"/>
    <w:rsid w:val="5A725A5F"/>
    <w:rsid w:val="5A812DEA"/>
    <w:rsid w:val="5A8D5661"/>
    <w:rsid w:val="5AC41924"/>
    <w:rsid w:val="5AC8016B"/>
    <w:rsid w:val="5B3470DA"/>
    <w:rsid w:val="5B5669D6"/>
    <w:rsid w:val="5BA924BC"/>
    <w:rsid w:val="5BAA3522"/>
    <w:rsid w:val="5C042A8D"/>
    <w:rsid w:val="5C3259EE"/>
    <w:rsid w:val="5C3B151F"/>
    <w:rsid w:val="5C4900C4"/>
    <w:rsid w:val="5C8C341B"/>
    <w:rsid w:val="5CB42AE7"/>
    <w:rsid w:val="5CB67A7F"/>
    <w:rsid w:val="5CC0558A"/>
    <w:rsid w:val="5CD51979"/>
    <w:rsid w:val="5D062391"/>
    <w:rsid w:val="5D331F4C"/>
    <w:rsid w:val="5D597EB7"/>
    <w:rsid w:val="5E4907E6"/>
    <w:rsid w:val="5E9A74A0"/>
    <w:rsid w:val="5F723C49"/>
    <w:rsid w:val="5FD4310E"/>
    <w:rsid w:val="600B4656"/>
    <w:rsid w:val="60455C7E"/>
    <w:rsid w:val="605E0DAD"/>
    <w:rsid w:val="6066433D"/>
    <w:rsid w:val="607720E9"/>
    <w:rsid w:val="607A026D"/>
    <w:rsid w:val="60BD3BA3"/>
    <w:rsid w:val="610C4FB2"/>
    <w:rsid w:val="615370FF"/>
    <w:rsid w:val="61583846"/>
    <w:rsid w:val="61F909CE"/>
    <w:rsid w:val="620A3F82"/>
    <w:rsid w:val="62214605"/>
    <w:rsid w:val="623303BA"/>
    <w:rsid w:val="62340817"/>
    <w:rsid w:val="6240635C"/>
    <w:rsid w:val="624F6BEA"/>
    <w:rsid w:val="6283266F"/>
    <w:rsid w:val="62B84FD9"/>
    <w:rsid w:val="62D12C3D"/>
    <w:rsid w:val="631F2373"/>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D1161"/>
    <w:rsid w:val="65742B7C"/>
    <w:rsid w:val="65A80F15"/>
    <w:rsid w:val="65D60872"/>
    <w:rsid w:val="65E27FB4"/>
    <w:rsid w:val="6601141B"/>
    <w:rsid w:val="662F075A"/>
    <w:rsid w:val="665436C7"/>
    <w:rsid w:val="6681231C"/>
    <w:rsid w:val="670F3085"/>
    <w:rsid w:val="672C679C"/>
    <w:rsid w:val="6750416C"/>
    <w:rsid w:val="68212B7B"/>
    <w:rsid w:val="68607599"/>
    <w:rsid w:val="68617509"/>
    <w:rsid w:val="69105353"/>
    <w:rsid w:val="69375785"/>
    <w:rsid w:val="695F56EE"/>
    <w:rsid w:val="69C1258B"/>
    <w:rsid w:val="6A370475"/>
    <w:rsid w:val="6A557EBA"/>
    <w:rsid w:val="6A615EE7"/>
    <w:rsid w:val="6AB5426E"/>
    <w:rsid w:val="6AD15F01"/>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AC191A"/>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807872"/>
    <w:rsid w:val="71C035E4"/>
    <w:rsid w:val="71F373BC"/>
    <w:rsid w:val="72062E95"/>
    <w:rsid w:val="72586F54"/>
    <w:rsid w:val="726A7CC7"/>
    <w:rsid w:val="726E45A6"/>
    <w:rsid w:val="729D32AA"/>
    <w:rsid w:val="7318268D"/>
    <w:rsid w:val="7331658E"/>
    <w:rsid w:val="73ED09E8"/>
    <w:rsid w:val="73FB4803"/>
    <w:rsid w:val="740E5829"/>
    <w:rsid w:val="740F5AC1"/>
    <w:rsid w:val="741C332E"/>
    <w:rsid w:val="743B7AC2"/>
    <w:rsid w:val="74703282"/>
    <w:rsid w:val="74B52DC4"/>
    <w:rsid w:val="74EA168A"/>
    <w:rsid w:val="75703A9C"/>
    <w:rsid w:val="75FE1A6E"/>
    <w:rsid w:val="760C70BC"/>
    <w:rsid w:val="769F4F5A"/>
    <w:rsid w:val="76AF41E6"/>
    <w:rsid w:val="773F38CD"/>
    <w:rsid w:val="779427CE"/>
    <w:rsid w:val="77EF3B47"/>
    <w:rsid w:val="77F453E9"/>
    <w:rsid w:val="78973B82"/>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D7C3287"/>
    <w:rsid w:val="7D8203E2"/>
    <w:rsid w:val="7D84585C"/>
    <w:rsid w:val="7DC178D1"/>
    <w:rsid w:val="7DF033D3"/>
    <w:rsid w:val="7E1224C7"/>
    <w:rsid w:val="7E13044C"/>
    <w:rsid w:val="7E497D5A"/>
    <w:rsid w:val="7EA513A4"/>
    <w:rsid w:val="7EB845D5"/>
    <w:rsid w:val="7F0326C5"/>
    <w:rsid w:val="7F053DC3"/>
    <w:rsid w:val="7F0B0939"/>
    <w:rsid w:val="7F1F16D4"/>
    <w:rsid w:val="7F986441"/>
    <w:rsid w:val="7FA8310D"/>
    <w:rsid w:val="7FC043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33920</Words>
  <Characters>51313</Characters>
  <Lines>636</Lines>
  <Paragraphs>179</Paragraphs>
  <TotalTime>187</TotalTime>
  <ScaleCrop>false</ScaleCrop>
  <LinksUpToDate>false</LinksUpToDate>
  <CharactersWithSpaces>52937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Jie</cp:lastModifiedBy>
  <cp:lastPrinted>2019-04-11T07:11:00Z</cp:lastPrinted>
  <dcterms:modified xsi:type="dcterms:W3CDTF">2023-06-21T07:01:40Z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D1BCE7D5C523429F96417586D4A20E06_13</vt:lpwstr>
  </property>
</Properties>
</file>