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等线" w:cstheme="minorHAnsi"/>
          <w:b/>
          <w:szCs w:val="21"/>
        </w:rPr>
      </w:pPr>
    </w:p>
    <w:p>
      <w:pPr>
        <w:wordWrap w:val="0"/>
        <w:jc w:val="right"/>
        <w:rPr>
          <w:rFonts w:hAnsi="等线"/>
          <w:szCs w:val="21"/>
        </w:rPr>
      </w:pPr>
      <w:r>
        <w:rPr>
          <w:rFonts w:hAnsi="等线"/>
          <w:szCs w:val="21"/>
        </w:rPr>
        <w:t xml:space="preserve"> </w:t>
      </w:r>
    </w:p>
    <w:p>
      <w:pPr>
        <w:jc w:val="right"/>
        <w:rPr>
          <w:rFonts w:hAnsi="等线"/>
          <w:szCs w:val="21"/>
        </w:rPr>
      </w:pPr>
    </w:p>
    <w:p>
      <w:pPr>
        <w:jc w:val="right"/>
        <w:rPr>
          <w:rFonts w:hAnsi="等线"/>
          <w:szCs w:val="21"/>
        </w:rPr>
      </w:pPr>
    </w:p>
    <w:p>
      <w:pPr>
        <w:jc w:val="right"/>
        <w:rPr>
          <w:rFonts w:hAnsi="等线"/>
          <w:szCs w:val="21"/>
        </w:rPr>
      </w:pPr>
    </w:p>
    <w:p>
      <w:pPr>
        <w:jc w:val="center"/>
        <w:rPr>
          <w:rFonts w:hAnsi="等线" w:cs="楷体"/>
          <w:b/>
          <w:bCs/>
          <w:color w:val="00A0E9"/>
          <w:sz w:val="84"/>
          <w:szCs w:val="84"/>
        </w:rPr>
      </w:pPr>
      <w:r>
        <w:rPr>
          <w:rFonts w:hint="eastAsia" w:hAnsi="等线" w:cs="楷体"/>
          <w:b/>
          <w:bCs/>
          <w:color w:val="00A0E9"/>
          <w:sz w:val="84"/>
          <w:szCs w:val="84"/>
        </w:rPr>
        <w:drawing>
          <wp:anchor distT="0" distB="0" distL="114300" distR="114300" simplePos="0" relativeHeight="251687936" behindDoc="0" locked="0" layoutInCell="1" allowOverlap="1">
            <wp:simplePos x="0" y="0"/>
            <wp:positionH relativeFrom="column">
              <wp:posOffset>588010</wp:posOffset>
            </wp:positionH>
            <wp:positionV relativeFrom="paragraph">
              <wp:posOffset>476250</wp:posOffset>
            </wp:positionV>
            <wp:extent cx="5050790" cy="4588510"/>
            <wp:effectExtent l="0" t="0" r="3810" b="8890"/>
            <wp:wrapNone/>
            <wp:docPr id="1001" name="图片 4" descr="摄图网_500847286_医生手上的人形DNA（非企业商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摄图网_500847286_医生手上的人形DNA（非企业商用）"/>
                    <pic:cNvPicPr>
                      <a:picLocks noChangeAspect="1"/>
                    </pic:cNvPicPr>
                  </pic:nvPicPr>
                  <pic:blipFill>
                    <a:blip r:embed="rId9"/>
                    <a:stretch>
                      <a:fillRect/>
                    </a:stretch>
                  </pic:blipFill>
                  <pic:spPr>
                    <a:xfrm>
                      <a:off x="0" y="0"/>
                      <a:ext cx="5050790" cy="4588510"/>
                    </a:xfrm>
                    <a:prstGeom prst="rect">
                      <a:avLst/>
                    </a:prstGeom>
                  </pic:spPr>
                </pic:pic>
              </a:graphicData>
            </a:graphic>
          </wp:anchor>
        </w:drawing>
      </w: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Cs w:val="21"/>
        </w:rPr>
      </w:pPr>
      <w:r>
        <w:rPr>
          <w:rFonts w:hint="eastAsia" w:ascii="黑体" w:hAnsi="黑体" w:eastAsia="黑体" w:cs="黑体"/>
          <w:b/>
          <w:bCs/>
          <w:color w:val="00A0E9"/>
          <w:sz w:val="84"/>
          <w:szCs w:val="84"/>
        </w:rPr>
        <w:t>肿瘤基因检测报告</w:t>
      </w:r>
    </w:p>
    <w:p>
      <w:pPr>
        <w:jc w:val="center"/>
        <w:rPr>
          <w:rFonts w:hAnsi="等线" w:cs="楷体"/>
          <w:b/>
          <w:bCs/>
          <w:color w:val="00A0E9"/>
          <w:szCs w:val="21"/>
        </w:rPr>
      </w:pPr>
    </w:p>
    <w:p>
      <w:pPr>
        <w:jc w:val="center"/>
        <w:rPr>
          <w:rFonts w:hAnsi="等线" w:cs="楷体"/>
          <w:b/>
          <w:bCs/>
          <w:color w:val="00A0E9"/>
          <w:szCs w:val="21"/>
        </w:rPr>
      </w:pPr>
    </w:p>
    <w:p>
      <w:pPr>
        <w:jc w:val="center"/>
        <w:rPr>
          <w:rFonts w:hint="default" w:hAnsi="等线" w:cs="楷体"/>
          <w:b/>
          <w:bCs/>
          <w:color w:val="00A0E9"/>
          <w:sz w:val="40"/>
          <w:szCs w:val="40"/>
          <w:lang w:val="en-US"/>
        </w:rPr>
      </w:pPr>
      <w:r>
        <w:rPr>
          <w:rFonts w:hint="eastAsia" w:ascii="楷体" w:hAnsi="楷体" w:eastAsia="楷体" w:cs="楷体"/>
          <w:b/>
          <w:bCs/>
          <w:color w:val="00A0E9"/>
          <w:sz w:val="40"/>
          <w:szCs w:val="40"/>
        </w:rPr>
        <w:t>检测项目：</w:t>
      </w:r>
      <w:r>
        <w:rPr>
          <w:rFonts w:hint="eastAsia" w:ascii="楷体" w:hAnsi="楷体" w:eastAsia="楷体" w:cs="楷体"/>
          <w:b/>
          <w:bCs/>
          <w:color w:val="00A0E9"/>
          <w:sz w:val="40"/>
          <w:szCs w:val="40"/>
          <w:lang w:val="en-US" w:eastAsia="zh-CN"/>
        </w:rPr>
        <w:t>结直肠</w:t>
      </w:r>
      <w:r>
        <w:rPr>
          <w:rFonts w:hint="eastAsia" w:ascii="楷体" w:hAnsi="楷体" w:eastAsia="楷体" w:cs="楷体"/>
          <w:b/>
          <w:bCs/>
          <w:color w:val="00A0E9"/>
          <w:sz w:val="40"/>
          <w:szCs w:val="40"/>
        </w:rPr>
        <w:t>癌</w:t>
      </w:r>
      <w:r>
        <w:rPr>
          <w:rFonts w:hint="eastAsia" w:ascii="楷体" w:hAnsi="楷体" w:eastAsia="楷体" w:cs="楷体"/>
          <w:b/>
          <w:bCs/>
          <w:color w:val="00A0E9"/>
          <w:sz w:val="40"/>
          <w:szCs w:val="40"/>
          <w:lang w:val="en-US" w:eastAsia="zh-CN"/>
        </w:rPr>
        <w:t>88</w:t>
      </w:r>
      <w:r>
        <w:rPr>
          <w:rFonts w:hint="eastAsia" w:ascii="楷体" w:hAnsi="楷体" w:eastAsia="楷体" w:cs="楷体"/>
          <w:b/>
          <w:bCs/>
          <w:color w:val="00A0E9"/>
          <w:sz w:val="40"/>
          <w:szCs w:val="40"/>
        </w:rPr>
        <w:t>基因检测报告（</w:t>
      </w:r>
      <w:r>
        <w:rPr>
          <w:rFonts w:hint="eastAsia" w:ascii="楷体" w:hAnsi="楷体" w:eastAsia="楷体" w:cs="楷体"/>
          <w:b/>
          <w:bCs/>
          <w:color w:val="00A0E9"/>
          <w:sz w:val="40"/>
          <w:szCs w:val="40"/>
          <w:lang w:val="en-US" w:eastAsia="zh-CN"/>
        </w:rPr>
        <w:t>血液</w:t>
      </w:r>
      <w:r>
        <w:rPr>
          <w:rFonts w:hint="eastAsia" w:ascii="楷体" w:hAnsi="楷体" w:eastAsia="楷体" w:cs="楷体"/>
          <w:b/>
          <w:bCs/>
          <w:color w:val="00A0E9"/>
          <w:sz w:val="40"/>
          <w:szCs w:val="40"/>
        </w:rPr>
        <w:t>版）</w:t>
      </w:r>
    </w:p>
    <w:p>
      <w:pPr>
        <w:rPr>
          <w:rFonts w:hAnsi="等线" w:cstheme="minorHAnsi"/>
          <w:b/>
          <w:szCs w:val="21"/>
        </w:rPr>
      </w:pPr>
    </w:p>
    <w:p>
      <w:pPr>
        <w:rPr>
          <w:rFonts w:hAnsi="等线" w:cstheme="minorHAnsi"/>
          <w:b/>
          <w:szCs w:val="21"/>
        </w:rPr>
      </w:pPr>
    </w:p>
    <w:p>
      <w:pPr>
        <w:rPr>
          <w:rFonts w:hAnsi="等线" w:cstheme="minorHAnsi"/>
          <w:b/>
          <w:szCs w:val="21"/>
        </w:rPr>
      </w:pPr>
    </w:p>
    <w:p>
      <w:pPr>
        <w:rPr>
          <w:rFonts w:hAnsi="等线"/>
          <w:szCs w:val="21"/>
        </w:rPr>
        <w:sectPr>
          <w:headerReference r:id="rId3" w:type="default"/>
          <w:pgSz w:w="11906" w:h="16838"/>
          <w:pgMar w:top="851" w:right="1134" w:bottom="1440" w:left="1134" w:header="680" w:footer="238" w:gutter="0"/>
          <w:pgBorders>
            <w:top w:val="none" w:sz="0" w:space="0"/>
            <w:left w:val="none" w:sz="0" w:space="0"/>
            <w:bottom w:val="none" w:sz="0" w:space="0"/>
            <w:right w:val="none" w:sz="0" w:space="0"/>
          </w:pgBorders>
          <w:pgNumType w:start="1"/>
          <w:cols w:space="425" w:num="1"/>
          <w:titlePg/>
          <w:docGrid w:type="lines" w:linePitch="312" w:charSpace="0"/>
        </w:sectPr>
      </w:pPr>
      <w:r>
        <w:rPr>
          <w:rFonts w:hAnsi="等线"/>
          <w:szCs w:val="21"/>
        </w:rPr>
        <w:br w:type="page"/>
      </w:r>
    </w:p>
    <w:p>
      <w:pPr>
        <w:rPr>
          <w:rFonts w:hAnsi="等线"/>
          <w:szCs w:val="21"/>
        </w:rPr>
      </w:pPr>
      <w:r>
        <w:rPr>
          <w:rFonts w:hAnsi="等线"/>
        </w:rPr>
        <mc:AlternateContent>
          <mc:Choice Requires="wps">
            <w:drawing>
              <wp:anchor distT="0" distB="0" distL="114300" distR="114300" simplePos="0" relativeHeight="251685888" behindDoc="1" locked="0" layoutInCell="1" allowOverlap="1">
                <wp:simplePos x="0" y="0"/>
                <wp:positionH relativeFrom="column">
                  <wp:posOffset>-341630</wp:posOffset>
                </wp:positionH>
                <wp:positionV relativeFrom="paragraph">
                  <wp:posOffset>-10795</wp:posOffset>
                </wp:positionV>
                <wp:extent cx="6329680" cy="9231630"/>
                <wp:effectExtent l="13970" t="1270" r="19050" b="25400"/>
                <wp:wrapNone/>
                <wp:docPr id="1002" name="矩形 4"/>
                <wp:cNvGraphicFramePr/>
                <a:graphic xmlns:a="http://schemas.openxmlformats.org/drawingml/2006/main">
                  <a:graphicData uri="http://schemas.microsoft.com/office/word/2010/wordprocessingShape">
                    <wps:wsp>
                      <wps:cNvSpPr/>
                      <wps:spPr>
                        <a:xfrm>
                          <a:off x="0" y="0"/>
                          <a:ext cx="6329680" cy="9231664"/>
                        </a:xfrm>
                        <a:prstGeom prst="rect">
                          <a:avLst/>
                        </a:prstGeom>
                        <a:noFill/>
                        <a:ln w="28575" cap="flat" cmpd="sng" algn="ctr">
                          <a:solidFill>
                            <a:srgbClr val="00B0F0"/>
                          </a:solidFill>
                          <a:prstDash val="lgDashDot"/>
                          <a:miter lim="800000"/>
                        </a:ln>
                        <a:effectLst/>
                      </wps:spPr>
                      <wps:style>
                        <a:lnRef idx="2">
                          <a:schemeClr val="accent1">
                            <a:shade val="50000"/>
                          </a:schemeClr>
                        </a:lnRef>
                        <a:fillRef idx="1">
                          <a:schemeClr val="accent1"/>
                        </a:fillRef>
                        <a:effectRef idx="0">
                          <a:schemeClr val="accent1"/>
                        </a:effectRef>
                        <a:fontRef idx="minor">
                          <a:schemeClr val="lt1"/>
                        </a:fontRef>
                      </wps:style>
                      <wps:txbx>
                        <w:txbxContent>
                          <w:p>
                            <w:pPr>
                              <w:widowControl/>
                              <w:snapToGrid w:val="0"/>
                              <w:spacing w:before="156" w:beforeLines="50" w:after="156" w:afterLines="50" w:line="360" w:lineRule="auto"/>
                              <w:ind w:firstLine="420"/>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4" o:spid="_x0000_s1026" o:spt="1" style="position:absolute;left:0pt;margin-left:-26.9pt;margin-top:-0.85pt;height:726.9pt;width:498.4pt;z-index:-251630592;v-text-anchor:middle;mso-width-relative:page;mso-height-relative:page;" filled="f" stroked="t" coordsize="21600,21600" o:gfxdata="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KI8zFXZAAAACwEAAA8AAAAAAAAA&#10;AQAgAAAAIgAAAGRycy9kb3ducmV2LnhtbFBLAQIUABQAAAAIAIdO4kAHjeF0ggIAAOwEAAAOAAAA&#10;AAAAAAEAIAAAACgBAABkcnMvZTJvRG9jLnhtbFBLBQYAAAAABgAGAFkBAAAcBgAAAAA=&#10;">
                <v:fill on="f" focussize="0,0"/>
                <v:stroke weight="2.25pt" color="#00B0F0 [3204]" miterlimit="8" joinstyle="miter" dashstyle="longDashDot"/>
                <v:imagedata o:title=""/>
                <o:lock v:ext="edit" aspectratio="f"/>
                <v:textbox>
                  <w:txbxContent>
                    <w:p>
                      <w:pPr>
                        <w:widowControl/>
                        <w:snapToGrid w:val="0"/>
                        <w:spacing w:before="156" w:beforeLines="50" w:after="156" w:afterLines="50" w:line="360" w:lineRule="auto"/>
                        <w:ind w:firstLine="420"/>
                      </w:pPr>
                    </w:p>
                  </w:txbxContent>
                </v:textbox>
              </v:rect>
            </w:pict>
          </mc:Fallback>
        </mc:AlternateContent>
      </w:r>
    </w:p>
    <w:p>
      <w:pPr>
        <w:rPr>
          <w:rFonts w:hAnsi="等线"/>
        </w:rPr>
      </w:pPr>
      <w:bookmarkStart w:id="0" w:name="前言"/>
      <w:bookmarkEnd w:id="0"/>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right="-21" w:rightChars="-10"/>
        <w:textAlignment w:val="auto"/>
        <w:rPr>
          <w:rFonts w:ascii="幼圆" w:hAnsi="幼圆" w:eastAsia="幼圆" w:cs="幼圆"/>
          <w:b/>
          <w:bCs/>
          <w:sz w:val="24"/>
          <w:szCs w:val="24"/>
        </w:rPr>
      </w:pPr>
      <w:r>
        <w:rPr>
          <w:rFonts w:hint="eastAsia" w:ascii="幼圆" w:hAnsi="幼圆" w:eastAsia="幼圆" w:cs="幼圆"/>
          <w:b/>
          <w:bCs/>
          <w:sz w:val="24"/>
          <w:szCs w:val="24"/>
        </w:rPr>
        <w:t>亲爱的先生/女士：</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幼圆" w:hAnsi="幼圆" w:eastAsia="幼圆" w:cs="幼圆"/>
          <w:b/>
          <w:bCs/>
          <w:color w:val="00B0F0"/>
          <w:szCs w:val="21"/>
        </w:rPr>
      </w:pPr>
      <w:r>
        <w:rPr>
          <w:rFonts w:hint="eastAsia" w:ascii="幼圆" w:hAnsi="幼圆" w:eastAsia="幼圆" w:cs="幼圆"/>
          <w:b/>
          <w:bCs/>
          <w:color w:val="00B0F0"/>
          <w:sz w:val="24"/>
          <w:szCs w:val="24"/>
        </w:rPr>
        <w:t>感谢您选择本公司的肿瘤基因检测及咨询服务</w:t>
      </w:r>
      <w:r>
        <w:rPr>
          <w:rFonts w:hint="eastAsia" w:ascii="幼圆" w:hAnsi="幼圆" w:eastAsia="幼圆" w:cs="幼圆"/>
          <w:b/>
          <w:bCs/>
          <w:color w:val="00B0F0"/>
          <w:szCs w:val="21"/>
        </w:rPr>
        <w:t>。</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我们秉承科学严谨、认真负责的态度，竭诚为您提供规范科学、专业的肿瘤基因检测及咨询服务。</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癌症严重威胁人类健康和生命，已成为最严峻的公共卫生问题之一。</w:t>
      </w:r>
      <w:r>
        <w:rPr>
          <w:rFonts w:hint="eastAsia" w:ascii="华康黑体W3" w:hAnsi="华康黑体W3" w:eastAsia="华康黑体W3" w:cs="华康黑体W3"/>
          <w:b/>
          <w:bCs/>
          <w:color w:val="404040" w:themeColor="text1" w:themeTint="BF"/>
          <w:sz w:val="20"/>
          <w:szCs w:val="20"/>
          <w:lang w:val="en-US" w:eastAsia="zh-CN"/>
          <w14:textFill>
            <w14:solidFill>
              <w14:schemeClr w14:val="tx1">
                <w14:lumMod w14:val="75000"/>
                <w14:lumOff w14:val="25000"/>
              </w14:schemeClr>
            </w14:solidFill>
          </w14:textFill>
        </w:rPr>
        <w:t>结直肠癌（Colorectal Cancer，CRC）是常见恶性肿瘤，发病率和死亡率均呈上升趋势，据2020年全球癌症统计数据，我国CRC新发病例为55.5万，居恶性肿瘤第三位。发病率为23.9/10万，男性高于女性；死亡率为12.0/10万，居第五位。国家癌症中心最新统计数据显示，我国CRC新发人数占所有新发恶性肿瘤的9.9%。我国结肠癌发生率与直肠癌发生率接近1:1。</w:t>
      </w: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众多研究结果证实，基因变异在肿瘤的发生发展过程中起着重要作用，肿瘤基因检测能为疾病诊断、治疗和预后提供帮助。如今，随着靶向治疗和免疫疗法的不断发展，肿瘤的治疗已从传统的化放疗和手术治疗走向更精准的肿瘤个体化诊疗。肿瘤医学也从经验医学和循证医学逐步发展为如今的精准医学。</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本公司推出的精准医疗系列产品基于二代测序等高通量基因检测平台，通过检测肿瘤相关基因，了解患者的肿瘤基因信息，为患者提供科学、详细的检测报告和有针对性的个性化用药建议。本检测全面覆盖并</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提示</w:t>
      </w:r>
      <w:r>
        <w:rPr>
          <w:rFonts w:hint="eastAsia" w:ascii="华康黑体W3" w:hAnsi="华康黑体W3" w:eastAsia="华康黑体W3" w:cs="华康黑体W3"/>
          <w:b/>
          <w:bCs/>
          <w:color w:val="404040" w:themeColor="text1" w:themeTint="BF"/>
          <w:sz w:val="20"/>
          <w:szCs w:val="20"/>
          <w:highlight w:val="none"/>
          <w:lang w:val="en-US" w:eastAsia="zh-CN"/>
          <w14:textFill>
            <w14:solidFill>
              <w14:schemeClr w14:val="tx1">
                <w14:lumMod w14:val="75000"/>
                <w14:lumOff w14:val="25000"/>
              </w14:schemeClr>
            </w14:solidFill>
          </w14:textFill>
        </w:rPr>
        <w:t>结直肠癌</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NMPA/FDA所批准、</w:t>
      </w:r>
      <w:r>
        <w:rPr>
          <w:rFonts w:hint="eastAsia" w:ascii="华康黑体W3" w:hAnsi="华康黑体W3" w:eastAsia="华康黑体W3" w:cs="华康黑体W3"/>
          <w:b/>
          <w:bCs/>
          <w:color w:val="404040" w:themeColor="text1" w:themeTint="BF"/>
          <w:sz w:val="20"/>
          <w:szCs w:val="20"/>
          <w:highlight w:val="none"/>
          <w:lang w:val="en-US" w:eastAsia="zh-CN"/>
          <w14:textFill>
            <w14:solidFill>
              <w14:schemeClr w14:val="tx1">
                <w14:lumMod w14:val="75000"/>
                <w14:lumOff w14:val="25000"/>
              </w14:schemeClr>
            </w14:solidFill>
          </w14:textFill>
        </w:rPr>
        <w:t>CSCO/</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NCCN指南所涵盖的所有靶向治疗方案，以及跨癌种用药方案和国际临床试验药物。</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由于科学技术的局限性，现阶段人类对癌症的认知还存在诸多盲区，肿瘤基因检测结果不能保证解释所有临床现象和临床治疗结果，也不能保证寻找到可用药基因变异信息。癌症基因检测咨询服务在现有医学知识体系下，对本次送检样本负责。</w:t>
      </w:r>
    </w:p>
    <w:p>
      <w:pPr>
        <w:widowControl/>
        <w:snapToGrid w:val="0"/>
        <w:spacing w:before="156" w:beforeLines="50" w:after="156" w:afterLines="50" w:line="600" w:lineRule="auto"/>
        <w:ind w:firstLine="420"/>
        <w:jc w:val="right"/>
        <w:rPr>
          <w:rFonts w:ascii="幼圆" w:hAnsi="幼圆" w:eastAsia="幼圆" w:cs="幼圆"/>
          <w:b/>
          <w:bCs/>
          <w:color w:val="404040" w:themeColor="text1" w:themeTint="BF"/>
          <w:szCs w:val="21"/>
          <w14:textFill>
            <w14:solidFill>
              <w14:schemeClr w14:val="tx1">
                <w14:lumMod w14:val="75000"/>
                <w14:lumOff w14:val="25000"/>
              </w14:schemeClr>
            </w14:solidFill>
          </w14:textFill>
        </w:rPr>
      </w:pPr>
      <w:r>
        <w:rPr>
          <w:rFonts w:hint="eastAsia" w:ascii="幼圆" w:hAnsi="幼圆" w:eastAsia="幼圆" w:cs="幼圆"/>
          <w:b/>
          <w:bCs/>
          <w:color w:val="404040" w:themeColor="text1" w:themeTint="BF"/>
          <w:sz w:val="20"/>
          <w:szCs w:val="20"/>
          <w14:textFill>
            <w14:solidFill>
              <w14:schemeClr w14:val="tx1">
                <w14:lumMod w14:val="75000"/>
                <w14:lumOff w14:val="25000"/>
              </w14:schemeClr>
            </w14:solidFill>
          </w14:textFill>
        </w:rPr>
        <w:t>公司全体员工致上</w:t>
      </w:r>
    </w:p>
    <w:p>
      <w:pPr>
        <w:sectPr>
          <w:footerReference r:id="rId5" w:type="first"/>
          <w:headerReference r:id="rId4" w:type="default"/>
          <w:pgSz w:w="11906" w:h="16838"/>
          <w:pgMar w:top="851" w:right="1532" w:bottom="1440" w:left="1554" w:header="510" w:footer="567" w:gutter="0"/>
          <w:pgBorders>
            <w:top w:val="none" w:sz="0" w:space="0"/>
            <w:left w:val="none" w:sz="0" w:space="0"/>
            <w:bottom w:val="none" w:sz="0" w:space="0"/>
            <w:right w:val="none" w:sz="0" w:space="0"/>
          </w:pgBorders>
          <w:pgNumType w:start="0"/>
          <w:cols w:space="425" w:num="1"/>
          <w:titlePg/>
          <w:docGrid w:type="lines" w:linePitch="312" w:charSpace="0"/>
        </w:sectPr>
      </w:pPr>
      <w:r>
        <w:br w:type="page"/>
      </w:r>
    </w:p>
    <w:p>
      <w:pPr>
        <w:rPr>
          <w:rFonts w:hAnsi="等线"/>
          <w:b/>
          <w:bCs/>
          <w:sz w:val="84"/>
          <w:szCs w:val="84"/>
        </w:rPr>
      </w:pPr>
      <w:r>
        <w:rPr>
          <w:rFonts w:hAnsi="等线"/>
          <w:color w:val="01A0E9"/>
          <w:sz w:val="56"/>
          <w:szCs w:val="20"/>
        </w:rPr>
        <mc:AlternateContent>
          <mc:Choice Requires="wps">
            <w:drawing>
              <wp:anchor distT="0" distB="0" distL="114300" distR="114300" simplePos="0" relativeHeight="251661312" behindDoc="0" locked="0" layoutInCell="1" allowOverlap="1">
                <wp:simplePos x="0" y="0"/>
                <wp:positionH relativeFrom="column">
                  <wp:posOffset>1079500</wp:posOffset>
                </wp:positionH>
                <wp:positionV relativeFrom="paragraph">
                  <wp:posOffset>-70485</wp:posOffset>
                </wp:positionV>
                <wp:extent cx="2532380" cy="713740"/>
                <wp:effectExtent l="0" t="0" r="1270" b="0"/>
                <wp:wrapNone/>
                <wp:docPr id="1003" name="文本框 19"/>
                <wp:cNvGraphicFramePr/>
                <a:graphic xmlns:a="http://schemas.openxmlformats.org/drawingml/2006/main">
                  <a:graphicData uri="http://schemas.microsoft.com/office/word/2010/wordprocessingShape">
                    <wps:wsp>
                      <wps:cNvSpPr txBox="1"/>
                      <wps:spPr>
                        <a:xfrm>
                          <a:off x="0" y="0"/>
                          <a:ext cx="2532380" cy="713740"/>
                        </a:xfrm>
                        <a:prstGeom prst="rect">
                          <a:avLst/>
                        </a:prstGeom>
                        <a:noFill/>
                        <a:ln w="6350">
                          <a:noFill/>
                        </a:ln>
                        <a:effectLst/>
                      </wps:spPr>
                      <wps:txbx>
                        <w:txbxContent>
                          <w:p>
                            <w:pPr>
                              <w:rPr>
                                <w:sz w:val="24"/>
                                <w:szCs w:val="28"/>
                              </w:rPr>
                            </w:pPr>
                            <w:r>
                              <w:rPr>
                                <w:rFonts w:hint="eastAsia" w:ascii="黑体" w:hAnsi="黑体" w:eastAsia="黑体"/>
                                <w:color w:val="7F7F7F"/>
                                <w:sz w:val="52"/>
                                <w:szCs w:val="32"/>
                              </w:rPr>
                              <w:t>C O N T E N T 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9" o:spid="_x0000_s1026" o:spt="202" type="#_x0000_t202" style="position:absolute;left:0pt;margin-left:85pt;margin-top:-5.55pt;height:56.2pt;width:199.4pt;z-index:251661312;mso-width-relative:page;mso-height-relative:page;" filled="f" stroked="f" coordsize="21600,21600" o:gfxdata="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J6a++raAAAACwEAAA8AAAAAAAAAAQAg&#10;AAAAIgAAAGRycy9kb3ducmV2LnhtbFBLAQIUABQAAAAIAIdO4kBKI+C0RQIAAHgEAAAOAAAAAAAA&#10;AAEAIAAAACkBAABkcnMvZTJvRG9jLnhtbFBLBQYAAAAABgAGAFkBAADgBQAAAAA=&#10;">
                <v:fill on="f" focussize="0,0"/>
                <v:stroke on="f" weight="0.5pt"/>
                <v:imagedata o:title=""/>
                <o:lock v:ext="edit" aspectratio="f"/>
                <v:textbox>
                  <w:txbxContent>
                    <w:p>
                      <w:pPr>
                        <w:rPr>
                          <w:sz w:val="24"/>
                          <w:szCs w:val="28"/>
                        </w:rPr>
                      </w:pPr>
                      <w:r>
                        <w:rPr>
                          <w:rFonts w:hint="eastAsia" w:ascii="黑体" w:hAnsi="黑体" w:eastAsia="黑体"/>
                          <w:color w:val="7F7F7F"/>
                          <w:sz w:val="52"/>
                          <w:szCs w:val="32"/>
                        </w:rPr>
                        <w:t>C O N T E N T S</w:t>
                      </w:r>
                    </w:p>
                  </w:txbxContent>
                </v:textbox>
              </v:shape>
            </w:pict>
          </mc:Fallback>
        </mc:AlternateContent>
      </w:r>
      <w:bookmarkStart w:id="1" w:name="_Toc81378415"/>
      <w:bookmarkStart w:id="2" w:name="_Ref80371375"/>
      <w:bookmarkStart w:id="3" w:name="_Hlk59006822"/>
      <w:r>
        <w:rPr>
          <w:rFonts w:hAnsi="等线"/>
          <w:color w:val="01A0E9"/>
          <w:sz w:val="56"/>
          <w:szCs w:val="20"/>
        </w:rPr>
        <mc:AlternateContent>
          <mc:Choice Requires="wps">
            <w:drawing>
              <wp:anchor distT="0" distB="0" distL="114300" distR="114300" simplePos="0" relativeHeight="251660288" behindDoc="0" locked="0" layoutInCell="1" allowOverlap="1">
                <wp:simplePos x="0" y="0"/>
                <wp:positionH relativeFrom="column">
                  <wp:posOffset>883920</wp:posOffset>
                </wp:positionH>
                <wp:positionV relativeFrom="paragraph">
                  <wp:posOffset>45720</wp:posOffset>
                </wp:positionV>
                <wp:extent cx="76200" cy="466725"/>
                <wp:effectExtent l="0" t="0" r="0" b="9525"/>
                <wp:wrapNone/>
                <wp:docPr id="1004" name="矩形 18"/>
                <wp:cNvGraphicFramePr/>
                <a:graphic xmlns:a="http://schemas.openxmlformats.org/drawingml/2006/main">
                  <a:graphicData uri="http://schemas.microsoft.com/office/word/2010/wordprocessingShape">
                    <wps:wsp>
                      <wps:cNvSpPr/>
                      <wps:spPr>
                        <a:xfrm>
                          <a:off x="2063115" y="1001395"/>
                          <a:ext cx="76200" cy="466725"/>
                        </a:xfrm>
                        <a:prstGeom prst="rect">
                          <a:avLst/>
                        </a:prstGeom>
                        <a:solidFill>
                          <a:srgbClr val="01A0E9"/>
                        </a:solidFill>
                        <a:ln w="12700" cap="flat" cmpd="sng" algn="ctr">
                          <a:no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8" o:spid="_x0000_s1026" o:spt="1" style="position:absolute;left:0pt;margin-left:69.6pt;margin-top:3.6pt;height:36.75pt;width:6pt;z-index:251660288;v-text-anchor:middle;mso-width-relative:page;mso-height-relative:page;" fillcolor="#01A0E9" filled="t" stroked="f" coordsize="21600,21600" o:gfxdata="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EurRuDYAAAACAEAAA8AAAAA&#10;AAAAAQAgAAAAIgAAAGRycy9kb3ducmV2LnhtbFBLAQIUABQAAAAIAIdO4kDtCGE3hgIAAPIEAAAO&#10;AAAAAAAAAAEAIAAAACcBAABkcnMvZTJvRG9jLnhtbFBLBQYAAAAABgAGAFkBAAAfBgAAAAA=&#10;">
                <v:fill on="t" focussize="0,0"/>
                <v:stroke on="f" weight="1pt" miterlimit="8" joinstyle="miter"/>
                <v:imagedata o:title=""/>
                <o:lock v:ext="edit" aspectratio="f"/>
                <v:textbox>
                  <w:txbxContent>
                    <w:p>
                      <w:pPr>
                        <w:jc w:val="center"/>
                      </w:pPr>
                    </w:p>
                  </w:txbxContent>
                </v:textbox>
              </v:rect>
            </w:pict>
          </mc:Fallback>
        </mc:AlternateContent>
      </w:r>
      <w:r>
        <w:rPr>
          <w:rFonts w:hint="eastAsia" w:hAnsi="等线"/>
          <w:b/>
          <w:bCs/>
          <w:color w:val="01A0E9"/>
          <w:sz w:val="56"/>
          <w:szCs w:val="56"/>
        </w:rPr>
        <w:t>目录</w:t>
      </w:r>
      <w:r>
        <w:rPr>
          <w:rFonts w:hint="eastAsia" w:hAnsi="等线"/>
          <w:b/>
          <w:bCs/>
          <w:sz w:val="84"/>
          <w:szCs w:val="84"/>
        </w:rPr>
        <w:t xml:space="preserve"> </w:t>
      </w:r>
    </w:p>
    <w:p>
      <w:pPr>
        <w:keepNext w:val="0"/>
        <w:keepLines w:val="0"/>
        <w:pageBreakBefore w:val="0"/>
        <w:widowControl w:val="0"/>
        <w:kinsoku/>
        <w:wordWrap/>
        <w:overflowPunct/>
        <w:topLinePunct w:val="0"/>
        <w:autoSpaceDE/>
        <w:autoSpaceDN/>
        <w:bidi w:val="0"/>
        <w:adjustRightInd/>
        <w:snapToGrid/>
        <w:spacing w:line="60" w:lineRule="exact"/>
        <w:textAlignment w:val="auto"/>
      </w:pPr>
    </w:p>
    <w:tbl>
      <w:tblPr>
        <w:tblStyle w:val="21"/>
        <w:tblW w:w="4867" w:type="pct"/>
        <w:tblInd w:w="11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77"/>
        <w:gridCol w:w="6630"/>
        <w:gridCol w:w="5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bookmarkStart w:id="4" w:name="_Toc89103137"/>
            <w:r>
              <w:rPr>
                <w:rFonts w:hint="eastAsia" w:ascii="微软雅黑" w:eastAsia="微软雅黑" w:cs="微软雅黑"/>
                <w:b/>
                <w:bCs/>
                <w:color w:val="00B0F0"/>
                <w:sz w:val="28"/>
                <w:szCs w:val="28"/>
              </w:rPr>
              <w:t>Part1</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基本信息</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jc w:val="righ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Part1：基本信息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before="32" w:beforeLines="10" w:after="32" w:afterLines="10"/>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受检者信息</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Part1：基本信息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样本信息</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样本信息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检测项目内容</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检测项目内容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Part2</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检测结果汇总</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Part2：结果汇总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3</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line="240" w:lineRule="exact"/>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before="32" w:beforeLines="10" w:after="32" w:afterLines="10" w:line="240" w:lineRule="exact"/>
              <w:ind w:left="420" w:hanging="420"/>
              <w:textAlignment w:val="auto"/>
            </w:pPr>
            <w:r>
              <w:rPr>
                <w:rFonts w:hint="eastAsia"/>
              </w:rPr>
              <w:t>检测结果汇总</w:t>
            </w:r>
          </w:p>
        </w:tc>
        <w:tc>
          <w:tcPr>
            <w:tcW w:w="586" w:type="dxa"/>
          </w:tcPr>
          <w:p>
            <w:pPr>
              <w:keepNext w:val="0"/>
              <w:keepLines w:val="0"/>
              <w:pageBreakBefore w:val="0"/>
              <w:widowControl w:val="0"/>
              <w:kinsoku/>
              <w:wordWrap/>
              <w:overflowPunct/>
              <w:topLinePunct w:val="0"/>
              <w:autoSpaceDE/>
              <w:autoSpaceDN/>
              <w:bidi w:val="0"/>
              <w:adjustRightInd/>
              <w:snapToGrid/>
              <w:spacing w:before="31" w:beforeLines="10" w:after="31" w:afterLines="10" w:line="240" w:lineRule="exact"/>
              <w:jc w:val="right"/>
              <w:textAlignment w:val="auto"/>
              <w:rPr>
                <w:sz w:val="20"/>
                <w:szCs w:val="20"/>
              </w:rPr>
            </w:pPr>
            <w:r>
              <w:rPr>
                <w:sz w:val="20"/>
                <w:szCs w:val="20"/>
              </w:rPr>
              <w:fldChar w:fldCharType="begin"/>
            </w:r>
            <w:r>
              <w:rPr>
                <w:sz w:val="20"/>
                <w:szCs w:val="20"/>
              </w:rPr>
              <w:instrText xml:space="preserve"> PAGEREF Part2：结果汇总 \h </w:instrText>
            </w:r>
            <w:r>
              <w:rPr>
                <w:sz w:val="20"/>
                <w:szCs w:val="20"/>
              </w:rPr>
              <w:fldChar w:fldCharType="separate"/>
            </w:r>
            <w:r>
              <w:rPr>
                <w:sz w:val="20"/>
                <w:szCs w:val="20"/>
              </w:rPr>
              <w:t>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pPr>
            <w:r>
              <w:rPr>
                <w:rFonts w:hint="eastAsia"/>
                <w:sz w:val="20"/>
                <w:szCs w:val="20"/>
                <w:lang w:val="en-US" w:eastAsia="zh-CN"/>
              </w:rPr>
              <w:t>靶向用药基因</w:t>
            </w:r>
            <w:r>
              <w:rPr>
                <w:rFonts w:hint="eastAsia"/>
                <w:sz w:val="20"/>
                <w:szCs w:val="20"/>
              </w:rPr>
              <w:t>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靶向用药检测小结 \h </w:instrText>
            </w:r>
            <w:r>
              <w:rPr>
                <w:sz w:val="20"/>
                <w:szCs w:val="20"/>
              </w:rPr>
              <w:fldChar w:fldCharType="separate"/>
            </w:r>
            <w:r>
              <w:rPr>
                <w:sz w:val="20"/>
                <w:szCs w:val="20"/>
              </w:rPr>
              <w:t>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sz w:val="20"/>
                <w:szCs w:val="20"/>
              </w:rPr>
            </w:pPr>
            <w:r>
              <w:rPr>
                <w:rFonts w:hint="eastAsia"/>
                <w:sz w:val="20"/>
                <w:szCs w:val="20"/>
              </w:rPr>
              <w:t>免疫治疗相关</w:t>
            </w:r>
            <w:r>
              <w:rPr>
                <w:rFonts w:hint="eastAsia"/>
                <w:sz w:val="20"/>
                <w:szCs w:val="20"/>
                <w:lang w:val="en-US" w:eastAsia="zh-CN"/>
              </w:rPr>
              <w:t>Biomarker</w:t>
            </w:r>
            <w:r>
              <w:rPr>
                <w:rFonts w:hint="eastAsia"/>
                <w:sz w:val="20"/>
                <w:szCs w:val="20"/>
              </w:rPr>
              <w:t>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免疫治疗相关Biomarker小结 \h </w:instrText>
            </w:r>
            <w:r>
              <w:rPr>
                <w:sz w:val="20"/>
                <w:szCs w:val="20"/>
              </w:rPr>
              <w:fldChar w:fldCharType="separate"/>
            </w:r>
            <w:r>
              <w:rPr>
                <w:sz w:val="20"/>
                <w:szCs w:val="20"/>
              </w:rPr>
              <w:t>4</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sz w:val="20"/>
                <w:szCs w:val="20"/>
              </w:rPr>
            </w:pPr>
            <w:r>
              <w:rPr>
                <w:rFonts w:hint="eastAsia"/>
                <w:sz w:val="20"/>
                <w:szCs w:val="20"/>
              </w:rPr>
              <w:t>化疗用药多态性位点检测结果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化疗用药多态性位点小结 \h </w:instrText>
            </w:r>
            <w:r>
              <w:rPr>
                <w:sz w:val="20"/>
                <w:szCs w:val="20"/>
              </w:rPr>
              <w:fldChar w:fldCharType="separate"/>
            </w:r>
            <w:r>
              <w:rPr>
                <w:sz w:val="20"/>
                <w:szCs w:val="20"/>
              </w:rPr>
              <w:t>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default" w:eastAsia="等线"/>
                <w:sz w:val="20"/>
                <w:szCs w:val="20"/>
                <w:lang w:val="en-US" w:eastAsia="zh-CN"/>
              </w:rPr>
            </w:pPr>
            <w:r>
              <w:rPr>
                <w:rFonts w:hint="eastAsia"/>
                <w:sz w:val="20"/>
                <w:szCs w:val="20"/>
                <w:lang w:val="en-US" w:eastAsia="zh-CN"/>
              </w:rPr>
              <w:t>常用联合化疗方案药物提示</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常用联合化疗方案药物提示 \h </w:instrText>
            </w:r>
            <w:r>
              <w:rPr>
                <w:sz w:val="20"/>
                <w:szCs w:val="20"/>
              </w:rPr>
              <w:fldChar w:fldCharType="separate"/>
            </w:r>
            <w:r>
              <w:rPr>
                <w:sz w:val="20"/>
                <w:szCs w:val="20"/>
              </w:rPr>
              <w:t>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default"/>
                <w:sz w:val="20"/>
                <w:szCs w:val="20"/>
                <w:lang w:val="en-US" w:eastAsia="zh-CN"/>
              </w:rPr>
            </w:pPr>
            <w:r>
              <w:rPr>
                <w:rFonts w:hint="eastAsia"/>
                <w:sz w:val="20"/>
                <w:szCs w:val="20"/>
                <w:lang w:val="en-US" w:eastAsia="zh-CN"/>
              </w:rPr>
              <w:t>遗传性结直肠癌基因检测结果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遗传性结直肠癌小结 \h </w:instrText>
            </w:r>
            <w:r>
              <w:rPr>
                <w:sz w:val="20"/>
                <w:szCs w:val="20"/>
              </w:rPr>
              <w:fldChar w:fldCharType="separate"/>
            </w:r>
            <w:r>
              <w:rPr>
                <w:sz w:val="20"/>
                <w:szCs w:val="20"/>
              </w:rPr>
              <w:t>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line="240" w:lineRule="exact"/>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before="32" w:beforeLines="10" w:after="32" w:afterLines="10" w:line="240" w:lineRule="exact"/>
              <w:ind w:left="420" w:hanging="420"/>
              <w:textAlignment w:val="auto"/>
            </w:pPr>
            <w:r>
              <w:rPr>
                <w:rFonts w:hint="eastAsia"/>
              </w:rPr>
              <w:t>FDA</w:t>
            </w:r>
            <w:r>
              <w:t>/NMPA</w:t>
            </w:r>
            <w:r>
              <w:rPr>
                <w:rFonts w:hint="eastAsia"/>
              </w:rPr>
              <w:t>获批或NCCN指南推荐的</w:t>
            </w:r>
            <w:r>
              <w:rPr>
                <w:rFonts w:hint="eastAsia"/>
                <w:lang w:val="en-US" w:eastAsia="zh-CN"/>
              </w:rPr>
              <w:t>结直肠癌</w:t>
            </w:r>
            <w:r>
              <w:rPr>
                <w:rFonts w:hint="eastAsia"/>
              </w:rPr>
              <w:t>靶药基因检出情况</w:t>
            </w:r>
          </w:p>
        </w:tc>
        <w:tc>
          <w:tcPr>
            <w:tcW w:w="586" w:type="dxa"/>
          </w:tcPr>
          <w:p>
            <w:pPr>
              <w:keepNext w:val="0"/>
              <w:keepLines w:val="0"/>
              <w:pageBreakBefore w:val="0"/>
              <w:widowControl w:val="0"/>
              <w:kinsoku/>
              <w:wordWrap/>
              <w:overflowPunct/>
              <w:topLinePunct w:val="0"/>
              <w:autoSpaceDE/>
              <w:autoSpaceDN/>
              <w:bidi w:val="0"/>
              <w:adjustRightInd/>
              <w:snapToGrid/>
              <w:spacing w:before="31" w:beforeLines="10" w:after="31" w:afterLines="10" w:line="240" w:lineRule="exact"/>
              <w:jc w:val="right"/>
              <w:textAlignment w:val="auto"/>
              <w:rPr>
                <w:sz w:val="20"/>
                <w:szCs w:val="20"/>
              </w:rPr>
            </w:pPr>
            <w:r>
              <w:rPr>
                <w:sz w:val="20"/>
                <w:szCs w:val="20"/>
              </w:rPr>
              <w:fldChar w:fldCharType="begin"/>
            </w:r>
            <w:r>
              <w:rPr>
                <w:sz w:val="20"/>
                <w:szCs w:val="20"/>
              </w:rPr>
              <w:instrText xml:space="preserve"> PAGEREF 本癌种FDA获批 \h </w:instrText>
            </w:r>
            <w:r>
              <w:rPr>
                <w:sz w:val="20"/>
                <w:szCs w:val="20"/>
              </w:rPr>
              <w:fldChar w:fldCharType="separate"/>
            </w:r>
            <w:r>
              <w:rPr>
                <w:sz w:val="20"/>
                <w:szCs w:val="20"/>
              </w:rPr>
              <w:t>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Part3</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检测结果详细解读</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Part3：详细解读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7</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lang w:val="en-US" w:eastAsia="zh-CN"/>
              </w:rPr>
              <w:t>靶向用药基因检测结果</w:t>
            </w:r>
            <w:r>
              <w:rPr>
                <w:rFonts w:hint="eastAsia"/>
              </w:rPr>
              <w:t>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靶向药物相关突变基因及临床意义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具有明确临床意义的基因变异【Ⅰ类】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具有明确临床意义的基因变异【I类】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具有潜在临床意义的基因变异【Ⅱ类】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具有潜在临床意义的基因变异【II类】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临床意义未明的基因变异【Ⅲ类】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临床意义未明的基因变异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基因变异解析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基因变异解析 \h </w:instrText>
            </w:r>
            <w:r>
              <w:rPr>
                <w:sz w:val="20"/>
                <w:szCs w:val="20"/>
              </w:rPr>
              <w:fldChar w:fldCharType="separate"/>
            </w:r>
            <w:r>
              <w:rPr>
                <w:sz w:val="20"/>
                <w:szCs w:val="20"/>
              </w:rPr>
              <w:t>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靶向药物解析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靶向药物解析 \h </w:instrText>
            </w:r>
            <w:r>
              <w:rPr>
                <w:sz w:val="20"/>
                <w:szCs w:val="20"/>
              </w:rPr>
              <w:fldChar w:fldCharType="separate"/>
            </w:r>
            <w:r>
              <w:rPr>
                <w:sz w:val="20"/>
                <w:szCs w:val="20"/>
              </w:rPr>
              <w:t>10</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免疫治疗相关Biomarker检测结果及临床意义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免疫治疗相关biomarker \h </w:instrText>
            </w:r>
            <w:r>
              <w:rPr>
                <w:sz w:val="20"/>
                <w:szCs w:val="20"/>
              </w:rPr>
              <w:fldChar w:fldCharType="separate"/>
            </w:r>
            <w:r>
              <w:rPr>
                <w:sz w:val="20"/>
                <w:szCs w:val="20"/>
              </w:rPr>
              <w:t>11</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微卫星不稳定性（MSI）解析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MSI结果注释 \h </w:instrText>
            </w:r>
            <w:r>
              <w:rPr>
                <w:sz w:val="20"/>
                <w:szCs w:val="20"/>
              </w:rPr>
              <w:fldChar w:fldCharType="separate"/>
            </w:r>
            <w:r>
              <w:rPr>
                <w:sz w:val="20"/>
                <w:szCs w:val="20"/>
              </w:rPr>
              <w:t>11</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错配修复系统（MMR）检测结果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MMR检测结果 \h </w:instrText>
            </w:r>
            <w:r>
              <w:rPr>
                <w:sz w:val="20"/>
                <w:szCs w:val="20"/>
              </w:rPr>
              <w:fldChar w:fldCharType="separate"/>
            </w:r>
            <w:r>
              <w:rPr>
                <w:sz w:val="20"/>
                <w:szCs w:val="20"/>
              </w:rPr>
              <w:t>12</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化疗用药</w:t>
            </w:r>
            <w:r>
              <w:rPr>
                <w:rFonts w:hint="eastAsia"/>
                <w:b w:val="0"/>
                <w:bCs w:val="0"/>
                <w:lang w:val="en-US" w:eastAsia="zh-CN"/>
              </w:rPr>
              <w:t>多态性位点检测结果</w:t>
            </w:r>
            <w:r>
              <w:rPr>
                <w:rFonts w:hint="eastAsia"/>
              </w:rPr>
              <w:t>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化疗用药基因变异解析 \h </w:instrText>
            </w:r>
            <w:r>
              <w:rPr>
                <w:sz w:val="20"/>
                <w:szCs w:val="20"/>
              </w:rPr>
              <w:fldChar w:fldCharType="separate"/>
            </w:r>
            <w:r>
              <w:rPr>
                <w:sz w:val="20"/>
                <w:szCs w:val="20"/>
              </w:rPr>
              <w:t>15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化疗用药提示</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化疗用药提示 \h </w:instrText>
            </w:r>
            <w:r>
              <w:rPr>
                <w:sz w:val="20"/>
                <w:szCs w:val="20"/>
              </w:rPr>
              <w:fldChar w:fldCharType="separate"/>
            </w:r>
            <w:r>
              <w:rPr>
                <w:sz w:val="20"/>
                <w:szCs w:val="20"/>
              </w:rPr>
              <w:t>15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化疗用药具体评估</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化疗用药具体评估 \h </w:instrText>
            </w:r>
            <w:r>
              <w:rPr>
                <w:sz w:val="20"/>
                <w:szCs w:val="20"/>
              </w:rPr>
              <w:fldChar w:fldCharType="separate"/>
            </w:r>
            <w:r>
              <w:rPr>
                <w:sz w:val="20"/>
                <w:szCs w:val="20"/>
              </w:rPr>
              <w:t>16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lang w:val="en-US" w:eastAsia="zh-CN"/>
              </w:rPr>
              <w:t>遗传性结直肠癌基因检测结果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遗传性结直肠癌基因检测结果 \h </w:instrText>
            </w:r>
            <w:r>
              <w:rPr>
                <w:sz w:val="20"/>
                <w:szCs w:val="20"/>
              </w:rPr>
              <w:fldChar w:fldCharType="separate"/>
            </w:r>
            <w:r>
              <w:rPr>
                <w:sz w:val="20"/>
                <w:szCs w:val="20"/>
              </w:rPr>
              <w:t>17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Part4</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其他消息及说明</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Part4：其他信息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18</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样本质控结果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样本质控结果 \h </w:instrText>
            </w:r>
            <w:r>
              <w:fldChar w:fldCharType="separate"/>
            </w:r>
            <w:r>
              <w:t>18</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检测方法</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检测方法 \h </w:instrText>
            </w:r>
            <w:r>
              <w:fldChar w:fldCharType="separate"/>
            </w:r>
            <w:r>
              <w:t>19</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检测声明</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检测声明 \h </w:instrText>
            </w:r>
            <w:r>
              <w:fldChar w:fldCharType="separate"/>
            </w:r>
            <w:r>
              <w:t>20</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Part5</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附录</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Part5：附录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21</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基因</w:t>
            </w:r>
            <w:r>
              <w:rPr>
                <w:rFonts w:hint="eastAsia"/>
                <w:lang w:val="en-US" w:eastAsia="zh-CN"/>
              </w:rPr>
              <w:t>检测</w:t>
            </w:r>
            <w:r>
              <w:rPr>
                <w:rFonts w:hint="eastAsia"/>
              </w:rPr>
              <w:t>列表</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基因列表 \h </w:instrText>
            </w:r>
            <w:r>
              <w:rPr>
                <w:sz w:val="20"/>
                <w:szCs w:val="21"/>
              </w:rPr>
              <w:fldChar w:fldCharType="separate"/>
            </w:r>
            <w:r>
              <w:rPr>
                <w:sz w:val="20"/>
                <w:szCs w:val="21"/>
              </w:rPr>
              <w:t>21</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重要基因简介</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基因简介 \h </w:instrText>
            </w:r>
            <w:r>
              <w:rPr>
                <w:sz w:val="20"/>
                <w:szCs w:val="21"/>
              </w:rPr>
              <w:fldChar w:fldCharType="separate"/>
            </w:r>
            <w:r>
              <w:rPr>
                <w:sz w:val="20"/>
                <w:szCs w:val="21"/>
              </w:rPr>
              <w:t>21</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lang w:val="en-US" w:eastAsia="zh-CN"/>
              </w:rPr>
              <w:t>结直肠癌靶向药物介绍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靶向药物介绍 \h </w:instrText>
            </w:r>
            <w:r>
              <w:rPr>
                <w:sz w:val="20"/>
                <w:szCs w:val="21"/>
              </w:rPr>
              <w:fldChar w:fldCharType="separate"/>
            </w:r>
            <w:r>
              <w:rPr>
                <w:sz w:val="20"/>
                <w:szCs w:val="21"/>
              </w:rPr>
              <w:t>28</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lang w:val="en-US" w:eastAsia="zh-CN"/>
              </w:rPr>
              <w:t>结直肠癌多靶点药物和联合治疗用药方案介绍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遗传性肿瘤综合征介绍 \h </w:instrText>
            </w:r>
            <w:r>
              <w:rPr>
                <w:sz w:val="20"/>
                <w:szCs w:val="21"/>
              </w:rPr>
              <w:fldChar w:fldCharType="separate"/>
            </w:r>
            <w:r>
              <w:rPr>
                <w:sz w:val="20"/>
                <w:szCs w:val="21"/>
              </w:rPr>
              <w:t>37</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lang w:val="en-US" w:eastAsia="zh-CN"/>
              </w:rPr>
            </w:pPr>
            <w:r>
              <w:rPr>
                <w:rFonts w:hint="eastAsia"/>
                <w:lang w:val="en-US" w:eastAsia="zh-CN"/>
              </w:rPr>
              <w:t>遗传性结直肠癌综合征介绍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遗传性结直肠癌介绍 \h </w:instrText>
            </w:r>
            <w:r>
              <w:rPr>
                <w:sz w:val="20"/>
                <w:szCs w:val="21"/>
              </w:rPr>
              <w:fldChar w:fldCharType="separate"/>
            </w:r>
            <w:r>
              <w:rPr>
                <w:sz w:val="20"/>
                <w:szCs w:val="21"/>
              </w:rPr>
              <w:t>40</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参考文献</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参考文献 \h </w:instrText>
            </w:r>
            <w:r>
              <w:rPr>
                <w:sz w:val="20"/>
                <w:szCs w:val="21"/>
              </w:rPr>
              <w:fldChar w:fldCharType="separate"/>
            </w:r>
            <w:r>
              <w:rPr>
                <w:sz w:val="20"/>
                <w:szCs w:val="21"/>
              </w:rPr>
              <w:t>42</w:t>
            </w:r>
            <w:r>
              <w:rPr>
                <w:sz w:val="20"/>
                <w:szCs w:val="21"/>
              </w:rPr>
              <w:fldChar w:fldCharType="end"/>
            </w:r>
          </w:p>
        </w:tc>
      </w:tr>
    </w:tbl>
    <w:p>
      <w:r>
        <w:br w:type="page"/>
      </w:r>
    </w:p>
    <w:p>
      <w:pPr>
        <w:pStyle w:val="2"/>
        <w:ind w:firstLine="440" w:firstLineChars="100"/>
        <w:jc w:val="center"/>
        <w:rPr>
          <w:rFonts w:hAnsi="等线"/>
          <w:color w:val="00B0F0"/>
        </w:rPr>
      </w:pPr>
      <w:r>
        <mc:AlternateContent>
          <mc:Choice Requires="wps">
            <w:drawing>
              <wp:anchor distT="0" distB="0" distL="114300" distR="114300" simplePos="0" relativeHeight="251662336" behindDoc="1" locked="0" layoutInCell="1" allowOverlap="1">
                <wp:simplePos x="0" y="0"/>
                <wp:positionH relativeFrom="column">
                  <wp:posOffset>1796415</wp:posOffset>
                </wp:positionH>
                <wp:positionV relativeFrom="paragraph">
                  <wp:posOffset>-27305</wp:posOffset>
                </wp:positionV>
                <wp:extent cx="2828925" cy="561975"/>
                <wp:effectExtent l="12700" t="12700" r="15875" b="15875"/>
                <wp:wrapNone/>
                <wp:docPr id="1005" name="圆角矩形 3"/>
                <wp:cNvGraphicFramePr/>
                <a:graphic xmlns:a="http://schemas.openxmlformats.org/drawingml/2006/main">
                  <a:graphicData uri="http://schemas.microsoft.com/office/word/2010/wordprocessingShape">
                    <wps:wsp>
                      <wps:cNvSpPr/>
                      <wps:spPr>
                        <a:xfrm>
                          <a:off x="870585" y="824230"/>
                          <a:ext cx="2828925"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41.45pt;margin-top:-2.15pt;height:44.25pt;width:222.75pt;z-index:-251654144;v-text-anchor:middle;mso-width-relative:page;mso-height-relative:page;" filled="f" stroked="t" coordsize="21600,21600" arcsize="0.166666666666667" o:gfxdata="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Fn95RLb&#10;AAAACQEAAA8AAAAAAAAAAQAgAAAAIgAAAGRycy9kb3ducmV2LnhtbFBLAQIUABQAAAAIAIdO4kA8&#10;zzyFjwIAAOsEAAAOAAAAAAAAAAEAIAAAACoBAABkcnMvZTJvRG9jLnhtbFBLBQYAAAAABgAGAFkB&#10;AAArBg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1: </w:t>
      </w:r>
      <w:bookmarkEnd w:id="1"/>
      <w:bookmarkEnd w:id="2"/>
      <w:bookmarkStart w:id="5" w:name="_Ref80371425"/>
      <w:r>
        <w:rPr>
          <w:rFonts w:hint="eastAsia" w:hAnsi="等线"/>
          <w:color w:val="00B0F0"/>
        </w:rPr>
        <w:t>基本信息</w:t>
      </w:r>
      <w:bookmarkEnd w:id="4"/>
    </w:p>
    <w:bookmarkEnd w:id="5"/>
    <w:p>
      <w:pPr>
        <w:spacing w:before="340" w:line="360" w:lineRule="auto"/>
        <w:jc w:val="left"/>
        <w:outlineLvl w:val="1"/>
        <w:rPr>
          <w:rFonts w:hAnsi="等线" w:cs="Arial"/>
          <w:b/>
          <w:bCs/>
          <w:color w:val="00B0F0"/>
          <w:sz w:val="28"/>
          <w:szCs w:val="28"/>
        </w:rPr>
      </w:pPr>
      <w:bookmarkStart w:id="6" w:name="_Toc89103138"/>
      <w:r>
        <w:rPr>
          <w:rFonts w:hint="eastAsia" w:hAnsi="等线" w:cs="Arial"/>
          <w:b/>
          <w:bCs/>
          <w:color w:val="00B0F0"/>
          <w:sz w:val="28"/>
          <w:szCs w:val="28"/>
        </w:rPr>
        <w:drawing>
          <wp:anchor distT="0" distB="0" distL="114300" distR="114300" simplePos="0" relativeHeight="251672576" behindDoc="0" locked="0" layoutInCell="1" allowOverlap="1">
            <wp:simplePos x="0" y="0"/>
            <wp:positionH relativeFrom="column">
              <wp:posOffset>133985</wp:posOffset>
            </wp:positionH>
            <wp:positionV relativeFrom="paragraph">
              <wp:posOffset>73025</wp:posOffset>
            </wp:positionV>
            <wp:extent cx="211455" cy="277495"/>
            <wp:effectExtent l="0" t="0" r="1905" b="12065"/>
            <wp:wrapNone/>
            <wp:docPr id="1006" name="图片 15" descr="资源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资源 1029"/>
                    <pic:cNvPicPr>
                      <a:picLocks noChangeAspect="1"/>
                    </pic:cNvPicPr>
                  </pic:nvPicPr>
                  <pic:blipFill>
                    <a:blip r:embed="rId10"/>
                    <a:stretch>
                      <a:fillRect/>
                    </a:stretch>
                  </pic:blipFill>
                  <pic:spPr>
                    <a:xfrm>
                      <a:off x="0" y="0"/>
                      <a:ext cx="211455" cy="277495"/>
                    </a:xfrm>
                    <a:prstGeom prst="rect">
                      <a:avLst/>
                    </a:prstGeom>
                  </pic:spPr>
                </pic:pic>
              </a:graphicData>
            </a:graphic>
          </wp:anchor>
        </w:drawing>
      </w:r>
      <w:r>
        <w:rPr>
          <w:rFonts w:hint="eastAsia" w:hAnsi="等线" w:cs="Arial"/>
          <w:b/>
          <w:bCs/>
          <w:color w:val="00B0F0"/>
          <w:sz w:val="28"/>
          <w:szCs w:val="28"/>
        </w:rPr>
        <w:t xml:space="preserve">     </w:t>
      </w:r>
      <w:bookmarkStart w:id="7" w:name="Part1：基本信息"/>
      <w:bookmarkEnd w:id="7"/>
      <w:bookmarkStart w:id="8" w:name="受检者信息"/>
      <w:bookmarkEnd w:id="8"/>
      <w:r>
        <w:rPr>
          <w:rFonts w:hint="eastAsia" w:hAnsi="等线" w:cs="Arial"/>
          <w:b/>
          <w:bCs/>
          <w:color w:val="00B0F0"/>
          <w:sz w:val="28"/>
          <w:szCs w:val="28"/>
        </w:rPr>
        <w:t>受检者信息</w:t>
      </w:r>
      <w:bookmarkEnd w:id="6"/>
    </w:p>
    <w:tbl>
      <w:tblPr>
        <w:tblStyle w:val="21"/>
        <w:tblW w:w="0" w:type="auto"/>
        <w:jc w:val="center"/>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Layout w:type="fixed"/>
        <w:tblCellMar>
          <w:top w:w="0" w:type="dxa"/>
          <w:left w:w="108" w:type="dxa"/>
          <w:bottom w:w="0" w:type="dxa"/>
          <w:right w:w="108" w:type="dxa"/>
        </w:tblCellMar>
      </w:tblPr>
      <w:tblGrid>
        <w:gridCol w:w="1701"/>
        <w:gridCol w:w="2689"/>
        <w:gridCol w:w="1666"/>
        <w:gridCol w:w="2754"/>
      </w:tblGrid>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8810" w:type="dxa"/>
            <w:gridSpan w:val="4"/>
            <w:tcBorders>
              <w:top w:val="single" w:color="4472C4"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姓 </w:t>
            </w:r>
            <w:r>
              <w:rPr>
                <w:rFonts w:hAnsi="等线" w:cs="Arial"/>
                <w:b/>
                <w:bCs/>
                <w:color w:val="000000"/>
                <w:szCs w:val="21"/>
              </w:rPr>
              <w:t xml:space="preserve">   </w:t>
            </w:r>
            <w:r>
              <w:rPr>
                <w:rFonts w:hint="eastAsia" w:hAnsi="等线" w:cs="Arial"/>
                <w:b/>
                <w:bCs/>
                <w:color w:val="000000"/>
                <w:szCs w:val="21"/>
              </w:rPr>
              <w:t>名：</w:t>
            </w:r>
          </w:p>
        </w:tc>
        <w:tc>
          <w:tcPr>
            <w:tcW w:w="2689"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b/>
                <w:bCs/>
                <w:color w:val="000000"/>
                <w:szCs w:val="21"/>
                <w:lang w:eastAsia="zh-CN"/>
              </w:rPr>
            </w:pPr>
            <w:r>
              <w:rPr>
                <w:rFonts w:hint="eastAsia" w:hAnsi="等线" w:cs="Arial"/>
                <w:color w:val="000000"/>
                <w:szCs w:val="21"/>
                <w:lang w:eastAsia="zh-CN"/>
              </w:rPr>
              <w:t xml:space="preserve">刘杰</w:t>
            </w:r>
          </w:p>
        </w:tc>
        <w:tc>
          <w:tcPr>
            <w:tcW w:w="1666"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性 </w:t>
            </w:r>
            <w:r>
              <w:rPr>
                <w:rFonts w:hAnsi="等线" w:cs="Arial"/>
                <w:b/>
                <w:bCs/>
                <w:color w:val="000000"/>
                <w:szCs w:val="21"/>
              </w:rPr>
              <w:t xml:space="preserve">   </w:t>
            </w:r>
            <w:r>
              <w:rPr>
                <w:rFonts w:hint="eastAsia" w:hAnsi="等线" w:cs="Arial"/>
                <w:b/>
                <w:bCs/>
                <w:color w:val="000000"/>
                <w:szCs w:val="21"/>
              </w:rPr>
              <w:t>别：</w:t>
            </w:r>
          </w:p>
        </w:tc>
        <w:tc>
          <w:tcPr>
            <w:tcW w:w="2754"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eastAsia="zh-CN" w:bidi="ar"/>
              </w:rPr>
              <w:t xml:space="preserve">女</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年  </w:t>
            </w:r>
            <w:r>
              <w:rPr>
                <w:rFonts w:hAnsi="等线" w:cs="Arial"/>
                <w:b/>
                <w:bCs/>
                <w:color w:val="000000"/>
                <w:szCs w:val="21"/>
              </w:rPr>
              <w:t xml:space="preserve">  </w:t>
            </w:r>
            <w:r>
              <w:rPr>
                <w:rFonts w:hint="eastAsia" w:hAnsi="等线" w:cs="Arial"/>
                <w:b/>
                <w:bCs/>
                <w:color w:val="000000"/>
                <w:szCs w:val="21"/>
              </w:rPr>
              <w:t>龄：</w:t>
            </w:r>
          </w:p>
        </w:tc>
        <w:tc>
          <w:tcPr>
            <w:tcW w:w="2689"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eastAsia="zh-CN"/>
              </w:rPr>
              <w:t xml:space="preserve">57</w:t>
            </w:r>
          </w:p>
        </w:tc>
        <w:tc>
          <w:tcPr>
            <w:tcW w:w="1666"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联系方式：</w:t>
            </w:r>
          </w:p>
        </w:tc>
        <w:tc>
          <w:tcPr>
            <w:tcW w:w="2754"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color w:val="000000"/>
                <w:szCs w:val="21"/>
                <w:lang w:val="en-US" w:eastAsia="zh-CN" w:bidi="ar"/>
              </w:rPr>
              <w:t>/</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1701"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689"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1666"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754"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用</w:t>
            </w:r>
            <w:r>
              <w:rPr>
                <w:rFonts w:hint="eastAsia" w:hAnsi="等线" w:cs="Arial"/>
                <w:b/>
                <w:bCs/>
                <w:color w:val="000000"/>
                <w:szCs w:val="21"/>
              </w:rPr>
              <w:t xml:space="preserve"> </w:t>
            </w:r>
            <w:r>
              <w:rPr>
                <w:rFonts w:hAnsi="等线" w:cs="Arial"/>
                <w:b/>
                <w:bCs/>
                <w:color w:val="000000"/>
                <w:szCs w:val="21"/>
              </w:rPr>
              <w:t>药</w:t>
            </w:r>
            <w:r>
              <w:rPr>
                <w:rFonts w:hint="eastAsia" w:hAnsi="等线" w:cs="Arial"/>
                <w:b/>
                <w:bCs/>
                <w:color w:val="000000"/>
                <w:szCs w:val="21"/>
              </w:rPr>
              <w:t xml:space="preserve"> </w:t>
            </w:r>
            <w:r>
              <w:rPr>
                <w:rFonts w:hAnsi="等线" w:cs="Arial"/>
                <w:b/>
                <w:bCs/>
                <w:color w:val="000000"/>
                <w:szCs w:val="21"/>
              </w:rPr>
              <w:t>史</w:t>
            </w:r>
            <w:r>
              <w:rPr>
                <w:rFonts w:hint="eastAsia" w:hAnsi="等线" w:cs="Arial"/>
                <w:b/>
                <w:bCs/>
                <w:color w:val="000000"/>
                <w:szCs w:val="21"/>
              </w:rPr>
              <w:t>：</w:t>
            </w:r>
          </w:p>
        </w:tc>
        <w:tc>
          <w:tcPr>
            <w:tcW w:w="7109" w:type="dxa"/>
            <w:gridSpan w:val="3"/>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olor w:val="000000"/>
                <w:szCs w:val="21"/>
                <w:lang w:eastAsia="zh-CN"/>
              </w:rPr>
            </w:pPr>
            <w:r>
              <w:rPr>
                <w:rFonts w:hint="eastAsia" w:hAnsi="等线"/>
                <w:szCs w:val="21"/>
                <w:lang w:eastAsia="zh-CN" w:bidi="ar"/>
              </w:rPr>
              <w:t xml:space="preserve">——</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家</w:t>
            </w:r>
            <w:r>
              <w:rPr>
                <w:rFonts w:hint="eastAsia" w:hAnsi="等线" w:cs="Arial"/>
                <w:b/>
                <w:bCs/>
                <w:color w:val="000000"/>
                <w:szCs w:val="21"/>
              </w:rPr>
              <w:t xml:space="preserve"> </w:t>
            </w:r>
            <w:r>
              <w:rPr>
                <w:rFonts w:hAnsi="等线" w:cs="Arial"/>
                <w:b/>
                <w:bCs/>
                <w:color w:val="000000"/>
                <w:szCs w:val="21"/>
              </w:rPr>
              <w:t>族</w:t>
            </w:r>
            <w:r>
              <w:rPr>
                <w:rFonts w:hint="eastAsia" w:hAnsi="等线" w:cs="Arial"/>
                <w:b/>
                <w:bCs/>
                <w:color w:val="000000"/>
                <w:szCs w:val="21"/>
              </w:rPr>
              <w:t xml:space="preserve"> </w:t>
            </w:r>
            <w:r>
              <w:rPr>
                <w:rFonts w:hAnsi="等线" w:cs="Arial"/>
                <w:b/>
                <w:bCs/>
                <w:color w:val="000000"/>
                <w:szCs w:val="21"/>
              </w:rPr>
              <w:t>史</w:t>
            </w:r>
            <w:r>
              <w:rPr>
                <w:rFonts w:hint="eastAsia" w:hAnsi="等线" w:cs="Arial"/>
                <w:b/>
                <w:bCs/>
                <w:color w:val="000000"/>
                <w:szCs w:val="21"/>
              </w:rPr>
              <w:t>：</w:t>
            </w:r>
          </w:p>
        </w:tc>
        <w:tc>
          <w:tcPr>
            <w:tcW w:w="7109" w:type="dxa"/>
            <w:gridSpan w:val="3"/>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szCs w:val="21"/>
                <w:lang w:eastAsia="zh-CN" w:bidi="ar"/>
              </w:rPr>
              <w:t xml:space="preserve">——</w:t>
            </w:r>
          </w:p>
        </w:tc>
      </w:tr>
    </w:tbl>
    <w:p>
      <w:pPr>
        <w:rPr>
          <w:rFonts w:hint="eastAsia"/>
        </w:rPr>
      </w:pPr>
      <w:bookmarkStart w:id="9" w:name="_Toc89103139"/>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63360" behindDoc="0" locked="0" layoutInCell="1" allowOverlap="1">
            <wp:simplePos x="0" y="0"/>
            <wp:positionH relativeFrom="column">
              <wp:posOffset>136525</wp:posOffset>
            </wp:positionH>
            <wp:positionV relativeFrom="paragraph">
              <wp:posOffset>269875</wp:posOffset>
            </wp:positionV>
            <wp:extent cx="211455" cy="277495"/>
            <wp:effectExtent l="0" t="0" r="1905" b="12065"/>
            <wp:wrapNone/>
            <wp:docPr id="1007" name="图片 5" descr="资源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资源 1029"/>
                    <pic:cNvPicPr>
                      <a:picLocks noChangeAspect="1"/>
                    </pic:cNvPicPr>
                  </pic:nvPicPr>
                  <pic:blipFill>
                    <a:blip r:embed="rId10"/>
                    <a:stretch>
                      <a:fillRect/>
                    </a:stretch>
                  </pic:blipFill>
                  <pic:spPr>
                    <a:xfrm>
                      <a:off x="0" y="0"/>
                      <a:ext cx="211455" cy="277495"/>
                    </a:xfrm>
                    <a:prstGeom prst="rect">
                      <a:avLst/>
                    </a:prstGeom>
                  </pic:spPr>
                </pic:pic>
              </a:graphicData>
            </a:graphic>
          </wp:anchor>
        </w:drawing>
      </w:r>
      <w:r>
        <w:rPr>
          <w:rFonts w:hint="eastAsia" w:hAnsi="等线" w:cs="Arial"/>
          <w:b/>
          <w:bCs/>
          <w:color w:val="00B0F0"/>
          <w:sz w:val="28"/>
          <w:szCs w:val="28"/>
        </w:rPr>
        <w:t xml:space="preserve">     </w:t>
      </w:r>
      <w:bookmarkStart w:id="10" w:name="样本信息"/>
      <w:bookmarkEnd w:id="10"/>
      <w:r>
        <w:rPr>
          <w:rFonts w:hint="eastAsia" w:hAnsi="等线" w:cs="Arial"/>
          <w:b/>
          <w:bCs/>
          <w:color w:val="00B0F0"/>
          <w:sz w:val="28"/>
          <w:szCs w:val="28"/>
        </w:rPr>
        <w:t>样本信息</w:t>
      </w:r>
      <w:bookmarkEnd w:id="9"/>
    </w:p>
    <w:tbl>
      <w:tblPr>
        <w:tblStyle w:val="21"/>
        <w:tblW w:w="0" w:type="auto"/>
        <w:jc w:val="center"/>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Layout w:type="fixed"/>
        <w:tblCellMar>
          <w:top w:w="0" w:type="dxa"/>
          <w:left w:w="108" w:type="dxa"/>
          <w:bottom w:w="0" w:type="dxa"/>
          <w:right w:w="108" w:type="dxa"/>
        </w:tblCellMar>
      </w:tblPr>
      <w:tblGrid>
        <w:gridCol w:w="1696"/>
        <w:gridCol w:w="2823"/>
        <w:gridCol w:w="1537"/>
        <w:gridCol w:w="2754"/>
      </w:tblGrid>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8810" w:type="dxa"/>
            <w:gridSpan w:val="4"/>
            <w:tcBorders>
              <w:top w:val="single" w:color="4472C4"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肿瘤</w:t>
            </w:r>
            <w:r>
              <w:rPr>
                <w:rFonts w:hAnsi="等线" w:cs="Arial"/>
                <w:b/>
                <w:bCs/>
                <w:color w:val="000000"/>
                <w:szCs w:val="21"/>
              </w:rPr>
              <w:t>样本</w:t>
            </w:r>
            <w:r>
              <w:rPr>
                <w:rFonts w:hint="eastAsia" w:hAnsi="等线" w:cs="Arial"/>
                <w:b/>
                <w:bCs/>
                <w:color w:val="000000"/>
                <w:szCs w:val="21"/>
              </w:rPr>
              <w:t>I</w:t>
            </w:r>
            <w:r>
              <w:rPr>
                <w:rFonts w:hAnsi="等线" w:cs="Arial"/>
                <w:b/>
                <w:bCs/>
                <w:color w:val="000000"/>
                <w:szCs w:val="21"/>
              </w:rPr>
              <w:t>D</w:t>
            </w:r>
            <w:r>
              <w:rPr>
                <w:rFonts w:hint="eastAsia" w:hAnsi="等线" w:cs="Arial"/>
                <w:b/>
                <w:bCs/>
                <w:color w:val="000000"/>
                <w:szCs w:val="21"/>
              </w:rPr>
              <w:t>：</w:t>
            </w:r>
          </w:p>
        </w:tc>
        <w:tc>
          <w:tcPr>
            <w:tcW w:w="2823"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xml:space="preserve">2023WSSW000709-T</w:t>
            </w:r>
          </w:p>
        </w:tc>
        <w:tc>
          <w:tcPr>
            <w:tcW w:w="1537"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样本类型</w:t>
            </w:r>
            <w:r>
              <w:rPr>
                <w:rFonts w:hint="eastAsia" w:hAnsi="等线" w:cs="Arial"/>
                <w:b/>
                <w:bCs/>
                <w:color w:val="000000"/>
                <w:szCs w:val="21"/>
              </w:rPr>
              <w:t>：</w:t>
            </w:r>
          </w:p>
        </w:tc>
        <w:tc>
          <w:tcPr>
            <w:tcW w:w="2754"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xml:space="preserve">蜡块</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到样</w:t>
            </w:r>
            <w:r>
              <w:rPr>
                <w:rFonts w:hAnsi="等线" w:cs="Arial"/>
                <w:b/>
                <w:bCs/>
                <w:color w:val="000000"/>
                <w:szCs w:val="21"/>
              </w:rPr>
              <w:t>日期</w:t>
            </w:r>
            <w:r>
              <w:rPr>
                <w:rFonts w:hint="eastAsia" w:hAnsi="等线" w:cs="Arial"/>
                <w:b/>
                <w:bCs/>
                <w:color w:val="000000"/>
                <w:szCs w:val="21"/>
              </w:rPr>
              <w:t>：</w:t>
            </w:r>
          </w:p>
        </w:tc>
        <w:tc>
          <w:tcPr>
            <w:tcW w:w="282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xml:space="preserve">2023-03-25</w:t>
            </w:r>
          </w:p>
        </w:tc>
        <w:tc>
          <w:tcPr>
            <w:tcW w:w="1537"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报告日期：</w:t>
            </w:r>
          </w:p>
        </w:tc>
        <w:tc>
          <w:tcPr>
            <w:tcW w:w="275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color w:val="000000"/>
                <w:szCs w:val="21"/>
                <w:lang w:eastAsia="zh-CN"/>
              </w:rPr>
            </w:pPr>
            <w:r>
              <w:rPr>
                <w:rFonts w:hint="eastAsia" w:hAnsi="等线" w:cs="Arial"/>
                <w:color w:val="000000"/>
                <w:szCs w:val="21"/>
                <w:lang w:eastAsia="zh-CN" w:bidi="ar"/>
              </w:rPr>
              <w:t xml:space="preserve">2023-07-31</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1696"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823"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1537"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754"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肿瘤类型</w:t>
            </w:r>
            <w:r>
              <w:rPr>
                <w:rFonts w:hint="eastAsia" w:hAnsi="等线" w:cs="Arial"/>
                <w:b/>
                <w:bCs/>
                <w:color w:val="000000"/>
                <w:szCs w:val="21"/>
              </w:rPr>
              <w:t>：</w:t>
            </w:r>
          </w:p>
        </w:tc>
        <w:tc>
          <w:tcPr>
            <w:tcW w:w="7114" w:type="dxa"/>
            <w:gridSpan w:val="3"/>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olor w:val="000000"/>
                <w:szCs w:val="21"/>
                <w:lang w:eastAsia="zh-CN"/>
              </w:rPr>
            </w:pPr>
            <w:r>
              <w:rPr>
                <w:rFonts w:hint="eastAsia" w:hAnsi="等线"/>
                <w:szCs w:val="21"/>
                <w:lang w:eastAsia="zh-CN" w:bidi="ar"/>
              </w:rPr>
              <w:t xml:space="preserve">——</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病理诊断</w:t>
            </w:r>
            <w:r>
              <w:rPr>
                <w:rFonts w:hint="eastAsia" w:hAnsi="等线" w:cs="Arial"/>
                <w:b/>
                <w:bCs/>
                <w:color w:val="000000"/>
                <w:szCs w:val="21"/>
              </w:rPr>
              <w:t>：</w:t>
            </w:r>
          </w:p>
        </w:tc>
        <w:tc>
          <w:tcPr>
            <w:tcW w:w="7114" w:type="dxa"/>
            <w:gridSpan w:val="3"/>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hAnsi="等线" w:eastAsia="等线" w:cs="Arial"/>
                <w:color w:val="000000"/>
                <w:szCs w:val="21"/>
                <w:lang w:eastAsia="zh-CN"/>
              </w:rPr>
            </w:pPr>
            <w:r>
              <w:rPr>
                <w:rFonts w:hint="eastAsia" w:hAnsi="等线" w:cs="Arial"/>
                <w:szCs w:val="21"/>
                <w:lang w:eastAsia="zh-CN" w:bidi="ar"/>
              </w:rPr>
              <w:t xml:space="preserve">结肠癌</w:t>
            </w:r>
          </w:p>
        </w:tc>
      </w:tr>
    </w:tbl>
    <w:p>
      <w:pPr>
        <w:rPr>
          <w:rFonts w:hint="eastAsia"/>
        </w:rPr>
      </w:pPr>
      <w:bookmarkStart w:id="11" w:name="_Toc89103140"/>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64384" behindDoc="0" locked="0" layoutInCell="1" allowOverlap="1">
            <wp:simplePos x="0" y="0"/>
            <wp:positionH relativeFrom="column">
              <wp:posOffset>99695</wp:posOffset>
            </wp:positionH>
            <wp:positionV relativeFrom="paragraph">
              <wp:posOffset>255905</wp:posOffset>
            </wp:positionV>
            <wp:extent cx="255270" cy="277495"/>
            <wp:effectExtent l="0" t="0" r="3810" b="12065"/>
            <wp:wrapNone/>
            <wp:docPr id="1008" name="图片 6" descr="资源 1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资源 1129"/>
                    <pic:cNvPicPr>
                      <a:picLocks noChangeAspect="1"/>
                    </pic:cNvPicPr>
                  </pic:nvPicPr>
                  <pic:blipFill>
                    <a:blip r:embed="rId11"/>
                    <a:stretch>
                      <a:fillRect/>
                    </a:stretch>
                  </pic:blipFill>
                  <pic:spPr>
                    <a:xfrm>
                      <a:off x="0" y="0"/>
                      <a:ext cx="255270" cy="277495"/>
                    </a:xfrm>
                    <a:prstGeom prst="rect">
                      <a:avLst/>
                    </a:prstGeom>
                  </pic:spPr>
                </pic:pic>
              </a:graphicData>
            </a:graphic>
          </wp:anchor>
        </w:drawing>
      </w:r>
      <w:r>
        <w:rPr>
          <w:rFonts w:hint="eastAsia" w:hAnsi="等线" w:cs="Arial"/>
          <w:b/>
          <w:bCs/>
          <w:color w:val="00B0F0"/>
          <w:sz w:val="28"/>
          <w:szCs w:val="28"/>
        </w:rPr>
        <w:t xml:space="preserve">     </w:t>
      </w:r>
      <w:bookmarkStart w:id="12" w:name="检测项目内容"/>
      <w:bookmarkEnd w:id="12"/>
      <w:r>
        <w:rPr>
          <w:rFonts w:hint="eastAsia" w:hAnsi="等线" w:cs="Arial"/>
          <w:b/>
          <w:bCs/>
          <w:color w:val="00B0F0"/>
          <w:sz w:val="28"/>
          <w:szCs w:val="28"/>
        </w:rPr>
        <w:t>检测项目内容</w:t>
      </w:r>
      <w:bookmarkEnd w:id="11"/>
    </w:p>
    <w:tbl>
      <w:tblPr>
        <w:tblStyle w:val="47"/>
        <w:tblW w:w="8811" w:type="dxa"/>
        <w:jc w:val="center"/>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Layout w:type="fixed"/>
        <w:tblCellMar>
          <w:top w:w="0" w:type="dxa"/>
          <w:left w:w="0" w:type="dxa"/>
          <w:bottom w:w="0" w:type="dxa"/>
          <w:right w:w="0" w:type="dxa"/>
        </w:tblCellMar>
      </w:tblPr>
      <w:tblGrid>
        <w:gridCol w:w="2410"/>
        <w:gridCol w:w="6401"/>
      </w:tblGrid>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23" w:hRule="atLeast"/>
          <w:jc w:val="center"/>
        </w:trPr>
        <w:tc>
          <w:tcPr>
            <w:tcW w:w="8811" w:type="dxa"/>
            <w:gridSpan w:val="2"/>
            <w:tcBorders>
              <w:top w:val="single" w:color="4684D3" w:sz="8" w:space="0"/>
              <w:left w:val="nil"/>
              <w:bottom w:val="nil"/>
              <w:right w:val="nil"/>
            </w:tcBorders>
            <w:shd w:val="clear" w:color="auto" w:fill="FEFEFE"/>
            <w:vAlign w:val="center"/>
          </w:tcPr>
          <w:p>
            <w:pPr>
              <w:autoSpaceDE/>
              <w:autoSpaceDN/>
              <w:spacing w:line="20" w:lineRule="exact"/>
              <w:rPr>
                <w:rFonts w:cstheme="minorBidi"/>
                <w:lang w:eastAsia="en-US"/>
              </w:rPr>
            </w:pP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nil"/>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Ansi="等线" w:cstheme="minorBidi"/>
                <w:color w:val="000000"/>
                <w:lang w:eastAsia="en-US"/>
              </w:rPr>
              <w:t>靶向用药检测</w:t>
            </w:r>
          </w:p>
        </w:tc>
        <w:tc>
          <w:tcPr>
            <w:tcW w:w="6401" w:type="dxa"/>
            <w:tcBorders>
              <w:top w:val="nil"/>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本产品采用目标区域捕获和高通量测序技术进行检测。</w:t>
            </w:r>
          </w:p>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本产品包含</w:t>
            </w:r>
            <w:r>
              <w:rPr>
                <w:rFonts w:hint="eastAsia" w:hAnsi="等线" w:cstheme="minorBidi"/>
                <w:color w:val="000000"/>
                <w:lang w:eastAsia="en-US"/>
              </w:rPr>
              <w:t xml:space="preserve"> </w:t>
            </w:r>
            <w:r>
              <w:rPr>
                <w:rFonts w:hint="eastAsia" w:hAnsi="等线" w:cstheme="minorBidi"/>
                <w:color w:val="000000"/>
                <w:highlight w:val="none"/>
                <w:lang w:val="en-US" w:eastAsia="zh-CN"/>
              </w:rPr>
              <w:t>57</w:t>
            </w:r>
            <w:r>
              <w:rPr>
                <w:rFonts w:hAnsi="等线" w:cstheme="minorBidi"/>
                <w:color w:val="000000"/>
                <w:lang w:eastAsia="en-US"/>
              </w:rPr>
              <w:t xml:space="preserve"> 个靶向用药基因，涵盖</w:t>
            </w:r>
            <w:r>
              <w:rPr>
                <w:rFonts w:hint="eastAsia" w:hAnsi="等线" w:cstheme="minorBidi"/>
                <w:color w:val="000000"/>
                <w:lang w:val="en-US" w:eastAsia="zh-CN"/>
              </w:rPr>
              <w:t>结肠癌和直肠癌</w:t>
            </w:r>
            <w:r>
              <w:rPr>
                <w:rFonts w:hAnsi="等线" w:cstheme="minorBidi"/>
                <w:color w:val="000000"/>
                <w:lang w:eastAsia="en-US"/>
              </w:rPr>
              <w:t>的靶向治疗。检测内容包括点突变、插入/缺失</w:t>
            </w:r>
            <w:r>
              <w:rPr>
                <w:rFonts w:hint="eastAsia" w:hAnsi="等线" w:cstheme="minorBidi"/>
                <w:color w:val="000000"/>
                <w:lang w:eastAsia="en-US"/>
              </w:rPr>
              <w:t>，</w:t>
            </w:r>
            <w:r>
              <w:rPr>
                <w:rFonts w:hAnsi="等线" w:cstheme="minorBidi"/>
                <w:color w:val="000000"/>
                <w:lang w:eastAsia="en-US"/>
              </w:rPr>
              <w:t>拷贝数变异和基因融合/重排，可预测相关靶向药物的疗效。</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int="eastAsia" w:hAnsi="等线" w:cstheme="minorBidi"/>
                <w:color w:val="000000"/>
                <w:lang w:eastAsia="en-US"/>
              </w:rPr>
              <w:t>免疫治疗相关</w:t>
            </w:r>
            <w:r>
              <w:rPr>
                <w:rFonts w:hint="eastAsia" w:hAnsi="等线" w:cstheme="minorBidi"/>
                <w:color w:val="000000"/>
                <w:lang w:eastAsia="en-US"/>
              </w:rPr>
              <w:br w:type="textWrapping"/>
            </w:r>
            <w:r>
              <w:rPr>
                <w:rFonts w:hint="eastAsia" w:hAnsi="等线" w:cstheme="minorBidi"/>
                <w:color w:val="000000"/>
                <w:lang w:eastAsia="en-US"/>
              </w:rPr>
              <w:t>Biomarker检测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本产品分析微卫星不稳定性</w:t>
            </w:r>
            <w:r>
              <w:rPr>
                <w:rFonts w:hint="eastAsia" w:hAnsi="等线" w:cstheme="minorBidi"/>
                <w:color w:val="000000"/>
                <w:lang w:eastAsia="en-US"/>
              </w:rPr>
              <w:t>（M</w:t>
            </w:r>
            <w:r>
              <w:rPr>
                <w:rFonts w:hAnsi="等线" w:cstheme="minorBidi"/>
                <w:color w:val="000000"/>
                <w:lang w:eastAsia="en-US"/>
              </w:rPr>
              <w:t>SI</w:t>
            </w:r>
            <w:r>
              <w:rPr>
                <w:rFonts w:hint="eastAsia" w:hAnsi="等线" w:cstheme="minorBidi"/>
                <w:color w:val="000000"/>
                <w:lang w:eastAsia="en-US"/>
              </w:rPr>
              <w:t>），同时包含错配修复系统（M</w:t>
            </w:r>
            <w:r>
              <w:rPr>
                <w:rFonts w:hAnsi="等线" w:cstheme="minorBidi"/>
                <w:color w:val="000000"/>
                <w:lang w:eastAsia="en-US"/>
              </w:rPr>
              <w:t>MR</w:t>
            </w:r>
            <w:r>
              <w:rPr>
                <w:rFonts w:hint="eastAsia" w:hAnsi="等线" w:cstheme="minorBidi"/>
                <w:color w:val="000000"/>
                <w:lang w:eastAsia="en-US"/>
              </w:rPr>
              <w:t>）基因</w:t>
            </w:r>
            <w:r>
              <w:rPr>
                <w:rFonts w:hAnsi="等线" w:cstheme="minorBidi"/>
                <w:color w:val="000000"/>
                <w:lang w:eastAsia="en-US"/>
              </w:rPr>
              <w:t>，</w:t>
            </w:r>
            <w:r>
              <w:rPr>
                <w:rFonts w:hint="eastAsia" w:hAnsi="等线" w:cstheme="minorBidi"/>
                <w:color w:val="000000"/>
                <w:lang w:eastAsia="en-US"/>
              </w:rPr>
              <w:t>可</w:t>
            </w:r>
            <w:r>
              <w:rPr>
                <w:rFonts w:hAnsi="等线" w:cstheme="minorBidi"/>
                <w:color w:val="000000"/>
                <w:lang w:eastAsia="en-US"/>
              </w:rPr>
              <w:t>预测免疫治疗疗效。</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int="eastAsia" w:hAnsi="等线" w:cstheme="minorBidi"/>
                <w:color w:val="000000"/>
                <w:lang w:eastAsia="en-US"/>
              </w:rPr>
              <w:t>化疗用药多态性</w:t>
            </w:r>
            <w:r>
              <w:rPr>
                <w:rFonts w:hint="eastAsia" w:hAnsi="等线" w:cstheme="minorBidi"/>
                <w:color w:val="000000"/>
                <w:lang w:eastAsia="en-US"/>
              </w:rPr>
              <w:br w:type="textWrapping"/>
            </w:r>
            <w:r>
              <w:rPr>
                <w:rFonts w:hint="eastAsia" w:hAnsi="等线" w:cstheme="minorBidi"/>
                <w:color w:val="000000"/>
                <w:lang w:eastAsia="en-US"/>
              </w:rPr>
              <w:t>位点</w:t>
            </w:r>
            <w:r>
              <w:rPr>
                <w:rFonts w:hAnsi="等线" w:cstheme="minorBidi"/>
                <w:color w:val="000000"/>
                <w:lang w:eastAsia="en-US"/>
              </w:rPr>
              <w:t>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 xml:space="preserve">本产品包含 </w:t>
            </w:r>
            <w:r>
              <w:rPr>
                <w:rFonts w:hint="eastAsia" w:hAnsi="等线" w:cstheme="minorBidi"/>
                <w:color w:val="000000"/>
                <w:lang w:val="en-US" w:eastAsia="zh-CN"/>
              </w:rPr>
              <w:t>19</w:t>
            </w:r>
            <w:r>
              <w:rPr>
                <w:rFonts w:hAnsi="等线" w:cstheme="minorBidi"/>
                <w:color w:val="000000"/>
                <w:lang w:eastAsia="en-US"/>
              </w:rPr>
              <w:t xml:space="preserve"> 个化疗基因 2</w:t>
            </w:r>
            <w:r>
              <w:rPr>
                <w:rFonts w:hint="eastAsia" w:hAnsi="等线" w:cstheme="minorBidi"/>
                <w:color w:val="000000"/>
                <w:lang w:val="en-US" w:eastAsia="zh-CN"/>
              </w:rPr>
              <w:t>9</w:t>
            </w:r>
            <w:r>
              <w:rPr>
                <w:rFonts w:hAnsi="等线" w:cstheme="minorBidi"/>
                <w:color w:val="000000"/>
                <w:lang w:eastAsia="en-US"/>
              </w:rPr>
              <w:t xml:space="preserve"> 个位点，</w:t>
            </w:r>
            <w:r>
              <w:rPr>
                <w:rFonts w:hint="eastAsia" w:hAnsi="等线" w:cstheme="minorBidi"/>
                <w:color w:val="000000"/>
                <w:lang w:eastAsia="en-US"/>
              </w:rPr>
              <w:t xml:space="preserve">可预测 </w:t>
            </w:r>
            <w:r>
              <w:rPr>
                <w:rFonts w:hAnsi="等线" w:cstheme="minorBidi"/>
                <w:color w:val="000000"/>
                <w:lang w:eastAsia="en-US"/>
              </w:rPr>
              <w:t>2</w:t>
            </w:r>
            <w:r>
              <w:rPr>
                <w:rFonts w:hint="eastAsia" w:hAnsi="等线" w:cstheme="minorBidi"/>
                <w:color w:val="000000"/>
                <w:lang w:val="en-US" w:eastAsia="zh-CN"/>
              </w:rPr>
              <w:t>2</w:t>
            </w:r>
            <w:r>
              <w:rPr>
                <w:rFonts w:hAnsi="等线" w:cstheme="minorBidi"/>
                <w:color w:val="000000"/>
                <w:lang w:eastAsia="en-US"/>
              </w:rPr>
              <w:t xml:space="preserve"> 种化疗药物的疗效和毒副作用。</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int="eastAsia" w:hAnsi="等线" w:cstheme="minorBidi"/>
                <w:color w:val="000000"/>
                <w:lang w:eastAsia="en-US"/>
              </w:rPr>
            </w:pPr>
            <w:r>
              <w:rPr>
                <w:rFonts w:hAnsi="等线" w:cstheme="minorBidi"/>
                <w:color w:val="000000"/>
                <w:lang w:eastAsia="en-US"/>
              </w:rPr>
              <w:t>遗传性</w:t>
            </w:r>
            <w:r>
              <w:rPr>
                <w:rFonts w:hint="eastAsia" w:hAnsi="等线" w:cstheme="minorBidi"/>
                <w:color w:val="000000"/>
                <w:lang w:val="en-US" w:eastAsia="zh-CN"/>
              </w:rPr>
              <w:t>结直肠癌</w:t>
            </w:r>
            <w:r>
              <w:rPr>
                <w:rFonts w:hAnsi="等线" w:cstheme="minorBidi"/>
                <w:color w:val="000000"/>
                <w:lang w:eastAsia="en-US"/>
              </w:rPr>
              <w:t>基因检测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本产品包含</w:t>
            </w:r>
            <w:r>
              <w:rPr>
                <w:rFonts w:hint="eastAsia" w:hAnsi="等线" w:cstheme="minorBidi"/>
                <w:color w:val="000000"/>
                <w:lang w:val="en-US" w:eastAsia="zh-CN"/>
              </w:rPr>
              <w:t xml:space="preserve"> 11 个</w:t>
            </w:r>
            <w:r>
              <w:rPr>
                <w:rFonts w:hAnsi="等线" w:cstheme="minorBidi"/>
                <w:color w:val="000000"/>
                <w:lang w:eastAsia="en-US"/>
              </w:rPr>
              <w:t>遗传性</w:t>
            </w:r>
            <w:r>
              <w:rPr>
                <w:rFonts w:hint="eastAsia" w:hAnsi="等线" w:cstheme="minorBidi"/>
                <w:color w:val="000000"/>
                <w:lang w:val="en-US" w:eastAsia="zh-CN"/>
              </w:rPr>
              <w:t>结直肠癌相关</w:t>
            </w:r>
            <w:r>
              <w:rPr>
                <w:rFonts w:hAnsi="等线" w:cstheme="minorBidi"/>
                <w:color w:val="000000"/>
                <w:lang w:eastAsia="en-US"/>
              </w:rPr>
              <w:t>基因，</w:t>
            </w:r>
            <w:r>
              <w:rPr>
                <w:rFonts w:hint="eastAsia" w:hAnsi="等线" w:cstheme="minorBidi"/>
                <w:color w:val="000000"/>
                <w:lang w:val="en-US" w:eastAsia="zh-CN"/>
              </w:rPr>
              <w:t>提供</w:t>
            </w:r>
            <w:r>
              <w:rPr>
                <w:rFonts w:hAnsi="等线" w:cstheme="minorBidi"/>
                <w:color w:val="000000"/>
                <w:lang w:eastAsia="en-US"/>
              </w:rPr>
              <w:t>遗传性</w:t>
            </w:r>
            <w:r>
              <w:rPr>
                <w:rFonts w:hint="eastAsia" w:hAnsi="等线" w:cstheme="minorBidi"/>
                <w:color w:val="000000"/>
                <w:lang w:val="en-US" w:eastAsia="zh-CN"/>
              </w:rPr>
              <w:t>结直肠癌</w:t>
            </w:r>
            <w:r>
              <w:rPr>
                <w:rFonts w:hAnsi="等线" w:cstheme="minorBidi"/>
                <w:color w:val="000000"/>
                <w:lang w:eastAsia="en-US"/>
              </w:rPr>
              <w:t>的检测结果。</w:t>
            </w:r>
          </w:p>
        </w:tc>
      </w:tr>
    </w:tbl>
    <w:p>
      <w:pPr>
        <w:widowControl/>
        <w:spacing w:line="120" w:lineRule="exact"/>
        <w:jc w:val="left"/>
        <w:rPr>
          <w:rFonts w:hAnsi="等线"/>
          <w:szCs w:val="21"/>
        </w:rPr>
      </w:pPr>
      <w:r>
        <w:rPr>
          <w:rFonts w:hAnsi="等线"/>
          <w:szCs w:val="21"/>
        </w:rPr>
        <w:br w:type="page"/>
      </w:r>
    </w:p>
    <w:p>
      <w:pPr>
        <w:pStyle w:val="2"/>
        <w:jc w:val="center"/>
        <w:rPr>
          <w:rFonts w:hAnsi="等线"/>
          <w:color w:val="00B0F0"/>
        </w:rPr>
      </w:pPr>
      <w:bookmarkStart w:id="13" w:name="_Toc89103141"/>
      <w:r>
        <w:rPr>
          <w:sz w:val="36"/>
          <w:szCs w:val="36"/>
        </w:rPr>
        <mc:AlternateContent>
          <mc:Choice Requires="wps">
            <w:drawing>
              <wp:anchor distT="0" distB="0" distL="114300" distR="114300" simplePos="0" relativeHeight="251665408" behindDoc="1" locked="0" layoutInCell="1" allowOverlap="1">
                <wp:simplePos x="0" y="0"/>
                <wp:positionH relativeFrom="column">
                  <wp:posOffset>1573530</wp:posOffset>
                </wp:positionH>
                <wp:positionV relativeFrom="paragraph">
                  <wp:posOffset>-34925</wp:posOffset>
                </wp:positionV>
                <wp:extent cx="3038475" cy="561975"/>
                <wp:effectExtent l="12700" t="12700" r="15875" b="15875"/>
                <wp:wrapNone/>
                <wp:docPr id="1009" name="圆角矩形 7"/>
                <wp:cNvGraphicFramePr/>
                <a:graphic xmlns:a="http://schemas.openxmlformats.org/drawingml/2006/main">
                  <a:graphicData uri="http://schemas.microsoft.com/office/word/2010/wordprocessingShape">
                    <wps:wsp>
                      <wps:cNvSpPr/>
                      <wps:spPr>
                        <a:xfrm>
                          <a:off x="0" y="0"/>
                          <a:ext cx="3038475"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23.9pt;margin-top:-2.75pt;height:44.25pt;width:239.25pt;z-index:-251651072;v-text-anchor:middle;mso-width-relative:page;mso-height-relative:page;" filled="f" stroked="t" coordsize="21600,21600" arcsize="0.166666666666667" o:gfxdata="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DIebxLcAAAACQEAAA8A&#10;AAAAAAAAAQAgAAAAIgAAAGRycy9kb3ducmV2LnhtbFBLAQIUABQAAAAIAIdO4kCTmE6uhQIAAOEE&#10;AAAOAAAAAAAAAAEAIAAAACs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2: </w:t>
      </w:r>
      <w:r>
        <w:rPr>
          <w:rFonts w:hint="eastAsia" w:hAnsi="等线"/>
          <w:color w:val="00B0F0"/>
        </w:rPr>
        <w:t>检测结果汇总</w:t>
      </w:r>
      <w:bookmarkEnd w:id="13"/>
    </w:p>
    <w:p>
      <w:pPr>
        <w:spacing w:before="340" w:line="360" w:lineRule="auto"/>
        <w:jc w:val="left"/>
        <w:outlineLvl w:val="1"/>
        <w:rPr>
          <w:rFonts w:hAnsi="等线" w:cs="Arial"/>
          <w:b/>
          <w:bCs/>
          <w:color w:val="00B0F0"/>
          <w:sz w:val="28"/>
          <w:szCs w:val="28"/>
        </w:rPr>
      </w:pPr>
      <w:bookmarkStart w:id="14" w:name="_Toc89103142"/>
      <w:r>
        <w:rPr>
          <w:rFonts w:hint="eastAsia" w:hAnsi="等线" w:cs="Arial"/>
          <w:b/>
          <w:bCs/>
          <w:color w:val="00B0F0"/>
          <w:sz w:val="28"/>
          <w:szCs w:val="28"/>
        </w:rPr>
        <w:drawing>
          <wp:anchor distT="0" distB="0" distL="114300" distR="114300" simplePos="0" relativeHeight="251666432" behindDoc="0" locked="0" layoutInCell="1" allowOverlap="1">
            <wp:simplePos x="0" y="0"/>
            <wp:positionH relativeFrom="column">
              <wp:posOffset>85090</wp:posOffset>
            </wp:positionH>
            <wp:positionV relativeFrom="paragraph">
              <wp:posOffset>40005</wp:posOffset>
            </wp:positionV>
            <wp:extent cx="272415" cy="277495"/>
            <wp:effectExtent l="0" t="0" r="1905" b="12065"/>
            <wp:wrapNone/>
            <wp:docPr id="1010" name="图片 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rPr>
        <w:t xml:space="preserve">     </w:t>
      </w:r>
      <w:bookmarkStart w:id="15" w:name="检测结果汇总"/>
      <w:bookmarkEnd w:id="15"/>
      <w:bookmarkStart w:id="16" w:name="Part2：结果汇总"/>
      <w:bookmarkEnd w:id="16"/>
      <w:r>
        <w:rPr>
          <w:rFonts w:hint="eastAsia" w:hAnsi="等线" w:cs="Arial"/>
          <w:b/>
          <w:bCs/>
          <w:color w:val="00B0F0"/>
          <w:sz w:val="28"/>
          <w:szCs w:val="28"/>
        </w:rPr>
        <w:t>检测结果汇总</w:t>
      </w:r>
      <w:bookmarkEnd w:id="14"/>
    </w:p>
    <w:tbl>
      <w:tblPr>
        <w:tblStyle w:val="21"/>
        <w:tblW w:w="5000" w:type="pct"/>
        <w:jc w:val="center"/>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Layout w:type="fixed"/>
        <w:tblCellMar>
          <w:top w:w="0" w:type="dxa"/>
          <w:left w:w="108" w:type="dxa"/>
          <w:bottom w:w="0" w:type="dxa"/>
          <w:right w:w="108" w:type="dxa"/>
        </w:tblCellMar>
      </w:tblPr>
      <w:tblGrid>
        <w:gridCol w:w="2128"/>
        <w:gridCol w:w="3464"/>
        <w:gridCol w:w="4263"/>
      </w:tblGrid>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23" w:hRule="atLeast"/>
          <w:jc w:val="center"/>
        </w:trPr>
        <w:tc>
          <w:tcPr>
            <w:tcW w:w="9855" w:type="dxa"/>
            <w:gridSpan w:val="3"/>
            <w:tcBorders>
              <w:top w:val="single" w:color="4684D3" w:sz="8" w:space="0"/>
              <w:left w:val="single" w:color="FEFEFE" w:sz="8" w:space="0"/>
              <w:right w:val="single" w:color="FEFEFE" w:sz="8" w:space="0"/>
            </w:tcBorders>
            <w:shd w:val="clear" w:color="auto" w:fill="FEFEFE"/>
            <w:vAlign w:val="center"/>
          </w:tcPr>
          <w:p>
            <w:pPr>
              <w:spacing w:line="20" w:lineRule="exact"/>
            </w:pP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restart"/>
            <w:tcBorders>
              <w:left w:val="single" w:color="FEFEFE"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int="eastAsia" w:hAnsi="等线" w:cs="Arial"/>
                <w:color w:val="000000"/>
                <w:szCs w:val="21"/>
              </w:rPr>
              <w:t>靶向用药</w:t>
            </w:r>
            <w:r>
              <w:rPr>
                <w:rFonts w:hint="eastAsia" w:hAnsi="等线" w:cs="Arial"/>
                <w:color w:val="000000"/>
                <w:szCs w:val="21"/>
                <w:lang w:val="en-US" w:eastAsia="zh-CN"/>
              </w:rPr>
              <w:t>基因</w:t>
            </w:r>
            <w:r>
              <w:rPr>
                <w:rFonts w:hint="eastAsia" w:hAnsi="等线" w:cs="Arial"/>
                <w:color w:val="000000"/>
                <w:szCs w:val="21"/>
              </w:rPr>
              <w:t>检测</w:t>
            </w:r>
          </w:p>
        </w:tc>
        <w:tc>
          <w:tcPr>
            <w:tcW w:w="3464"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Ansi="等线" w:cs="Arial"/>
                <w:color w:val="000000"/>
                <w:szCs w:val="21"/>
              </w:rPr>
              <w:t>检测到的基因变异</w:t>
            </w:r>
          </w:p>
        </w:tc>
        <w:tc>
          <w:tcPr>
            <w:tcW w:w="4263"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lang w:bidi="ar"/>
              </w:rPr>
              <w:t xml:space="preserve">3</w:t>
            </w:r>
            <w:r>
              <w:rPr>
                <w:color w:val="000000"/>
              </w:rPr>
              <w:t xml:space="preserve"> 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continue"/>
            <w:tcBorders>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Ansi="等线" w:cs="Arial"/>
                <w:color w:val="000000"/>
                <w:szCs w:val="21"/>
              </w:rPr>
              <w:t>检测到潜在临床获益的治疗药物</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lang w:bidi="ar"/>
              </w:rPr>
              <w:t xml:space="preserve">8</w:t>
            </w:r>
            <w:r>
              <w:rPr>
                <w:color w:val="000000"/>
              </w:rPr>
              <w:t xml:space="preserve"> 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restart"/>
            <w:tcBorders>
              <w:left w:val="single" w:color="FEFEFE"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52" w:lineRule="auto"/>
              <w:jc w:val="center"/>
              <w:textAlignment w:val="auto"/>
              <w:rPr>
                <w:rFonts w:hAnsi="等线" w:cs="Arial"/>
                <w:color w:val="000000"/>
                <w:szCs w:val="21"/>
              </w:rPr>
            </w:pPr>
            <w:r>
              <w:rPr>
                <w:rFonts w:hint="eastAsia" w:hAnsi="等线" w:cs="Arial"/>
                <w:color w:val="000000"/>
                <w:szCs w:val="21"/>
              </w:rPr>
              <w:t>免疫治疗</w:t>
            </w:r>
            <w:r>
              <w:rPr>
                <w:rFonts w:hint="eastAsia" w:hAnsi="等线" w:cs="Arial"/>
                <w:color w:val="000000"/>
                <w:szCs w:val="21"/>
                <w:lang w:val="en-US" w:eastAsia="zh-CN"/>
              </w:rPr>
              <w:t>相关</w:t>
            </w:r>
            <w:r>
              <w:rPr>
                <w:rFonts w:hint="eastAsia" w:hAnsi="等线" w:cs="Arial"/>
                <w:color w:val="000000"/>
                <w:szCs w:val="21"/>
                <w:lang w:val="en-US" w:eastAsia="zh-CN"/>
              </w:rPr>
              <w:br w:type="textWrapping"/>
            </w:r>
            <w:r>
              <w:rPr>
                <w:rFonts w:hint="eastAsia" w:hAnsi="等线" w:cs="Arial"/>
                <w:color w:val="000000"/>
                <w:szCs w:val="21"/>
                <w:lang w:val="en-US" w:eastAsia="zh-CN"/>
              </w:rPr>
              <w:t>Biomarker</w:t>
            </w:r>
            <w:r>
              <w:rPr>
                <w:rFonts w:hint="eastAsia" w:hAnsi="等线" w:cs="Arial"/>
                <w:color w:val="000000"/>
                <w:szCs w:val="21"/>
              </w:rPr>
              <w:t>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微卫星不稳定（</w:t>
            </w:r>
            <w:r>
              <w:rPr>
                <w:color w:val="000000"/>
              </w:rPr>
              <w:t>MSI）检测</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int="eastAsia" w:hAnsi="等线" w:eastAsia="等线" w:cs="Arial"/>
                <w:bCs/>
                <w:color w:val="000000"/>
                <w:szCs w:val="21"/>
                <w:lang w:eastAsia="zh-CN"/>
              </w:rPr>
            </w:pPr>
            <w:r>
              <w:rPr>
                <w:rFonts w:hint="eastAsia"/>
                <w:lang w:bidi="ar"/>
              </w:rPr>
              <w:t xml:space="preserve">MSS</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continue"/>
            <w:tcBorders>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错配修复系统（</w:t>
            </w:r>
            <w:r>
              <w:rPr>
                <w:color w:val="000000"/>
              </w:rPr>
              <w:t>MMR）检测</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color w:val="000000"/>
              </w:rPr>
              <w:t xml:space="preserve">发现 </w:t>
            </w:r>
            <w:r>
              <w:rPr>
                <w:rFonts w:hint="eastAsia"/>
                <w:lang w:bidi="ar"/>
              </w:rPr>
              <w:t xml:space="preserve">1</w:t>
            </w:r>
            <w:r>
              <w:rPr>
                <w:rFonts w:hint="eastAsia"/>
                <w:color w:val="000000"/>
              </w:rPr>
              <w:t xml:space="preserve"> </w:t>
            </w:r>
            <w:r>
              <w:rPr>
                <w:color w:val="000000"/>
              </w:rPr>
              <w:t>个致病/疑似致病突变</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850" w:hRule="exact"/>
          <w:jc w:val="center"/>
        </w:trPr>
        <w:tc>
          <w:tcPr>
            <w:tcW w:w="2128"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52" w:lineRule="auto"/>
              <w:jc w:val="center"/>
              <w:textAlignment w:val="auto"/>
              <w:rPr>
                <w:color w:val="000000"/>
              </w:rPr>
            </w:pPr>
            <w:r>
              <w:rPr>
                <w:rFonts w:hint="eastAsia"/>
                <w:color w:val="000000"/>
              </w:rPr>
              <w:t>化疗用药多态性</w:t>
            </w:r>
            <w:r>
              <w:rPr>
                <w:rFonts w:hint="eastAsia"/>
                <w:color w:val="000000"/>
              </w:rPr>
              <w:br w:type="textWrapping"/>
            </w:r>
            <w:r>
              <w:rPr>
                <w:rFonts w:hint="eastAsia"/>
                <w:color w:val="000000"/>
              </w:rPr>
              <w:t>位点检测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等线"/>
                <w:color w:val="171A1D"/>
                <w:szCs w:val="21"/>
                <w:shd w:val="clear" w:color="auto" w:fill="FFFFFF"/>
              </w:rPr>
            </w:pPr>
            <w:r>
              <w:rPr>
                <w:rFonts w:hint="eastAsia" w:hAnsi="等线" w:cs="等线"/>
                <w:color w:val="171A1D"/>
                <w:szCs w:val="21"/>
                <w:shd w:val="clear" w:color="auto" w:fill="FFFFFF"/>
              </w:rPr>
              <w:t>推荐使用的化疗药物</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 xml:space="preserve">22</w:t>
            </w:r>
            <w:r>
              <w:rPr>
                <w:rFonts w:hint="eastAsia"/>
                <w:color w:val="000000"/>
              </w:rPr>
              <w:t>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850" w:hRule="exact"/>
          <w:jc w:val="center"/>
        </w:trPr>
        <w:tc>
          <w:tcPr>
            <w:tcW w:w="2128" w:type="dxa"/>
            <w:vMerge w:val="restart"/>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rPr>
            </w:pPr>
            <w:r>
              <w:rPr>
                <w:rFonts w:hint="eastAsia"/>
                <w:color w:val="000000"/>
                <w:lang w:eastAsia="en-US"/>
              </w:rPr>
              <w:t>遗传性</w:t>
            </w:r>
            <w:r>
              <w:rPr>
                <w:rFonts w:hint="eastAsia"/>
                <w:color w:val="000000"/>
                <w:lang w:val="en-US" w:eastAsia="zh-CN"/>
              </w:rPr>
              <w:t>结直肠癌</w:t>
            </w:r>
            <w:r>
              <w:rPr>
                <w:rFonts w:hint="eastAsia"/>
                <w:color w:val="000000"/>
                <w:lang w:val="en-US" w:eastAsia="zh-CN"/>
              </w:rPr>
              <w:br w:type="textWrapping"/>
            </w:r>
            <w:r>
              <w:rPr>
                <w:rFonts w:hint="eastAsia"/>
                <w:color w:val="000000"/>
                <w:lang w:eastAsia="en-US"/>
              </w:rPr>
              <w:t>基因检测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before="120" w:after="120" w:line="252" w:lineRule="auto"/>
              <w:jc w:val="center"/>
              <w:rPr>
                <w:rFonts w:hint="eastAsia" w:ascii="等线" w:hAnsi="等线" w:eastAsia="等线" w:cs="等线"/>
                <w:color w:val="171A1D"/>
                <w:kern w:val="2"/>
                <w:sz w:val="21"/>
                <w:szCs w:val="21"/>
                <w:shd w:val="clear" w:color="auto" w:fill="FFFFFF"/>
                <w:lang w:val="en-US" w:eastAsia="zh-CN" w:bidi="ar-SA"/>
              </w:rPr>
            </w:pPr>
            <w:r>
              <w:rPr>
                <w:rFonts w:hAnsi="等线" w:cs="Arial"/>
                <w:color w:val="000000"/>
                <w:szCs w:val="21"/>
              </w:rPr>
              <w:t>检测到的遗传性胚系变异</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before="120" w:after="120" w:line="252" w:lineRule="auto"/>
              <w:jc w:val="center"/>
              <w:rPr>
                <w:rFonts w:hint="eastAsia" w:ascii="等线" w:hAnsi="微软雅黑" w:eastAsia="等线" w:cs="Times New Roman"/>
                <w:color w:val="000000"/>
                <w:kern w:val="2"/>
                <w:sz w:val="21"/>
                <w:szCs w:val="22"/>
                <w:lang w:val="en-US" w:eastAsia="zh-CN" w:bidi="ar-SA"/>
              </w:rPr>
            </w:pPr>
            <w:r>
              <w:rPr>
                <w:rFonts w:hint="eastAsia"/>
                <w:color w:val="000000"/>
              </w:rPr>
              <w:t xml:space="preserve">发现 </w:t>
            </w:r>
            <w:r>
              <w:rPr>
                <w:rFonts w:hint="eastAsia"/>
                <w:lang w:bidi="ar"/>
              </w:rPr>
              <w:t xml:space="preserve">3</w:t>
            </w:r>
            <w:r>
              <w:rPr>
                <w:rFonts w:hint="eastAsia"/>
                <w:color w:val="000000"/>
              </w:rPr>
              <w:t xml:space="preserve"> </w:t>
            </w:r>
            <w:r>
              <w:rPr>
                <w:color w:val="000000"/>
              </w:rPr>
              <w:t>个致病/疑似致病突变</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23" w:hRule="exact"/>
          <w:jc w:val="center"/>
        </w:trPr>
        <w:tc>
          <w:tcPr>
            <w:tcW w:w="2128" w:type="dxa"/>
            <w:vMerge w:val="continue"/>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lang w:eastAsia="en-US"/>
              </w:rPr>
            </w:pPr>
          </w:p>
        </w:tc>
        <w:tc>
          <w:tcPr>
            <w:tcW w:w="3464" w:type="dxa"/>
            <w:tcBorders>
              <w:top w:val="single" w:color="4684D3" w:sz="8" w:space="0"/>
              <w:left w:val="single" w:color="FEFEFE" w:sz="8" w:space="0"/>
              <w:bottom w:val="nil"/>
              <w:right w:val="single" w:color="FEFEFE" w:sz="8" w:space="0"/>
            </w:tcBorders>
            <w:shd w:val="clear" w:color="auto" w:fill="FEFEFE"/>
            <w:vAlign w:val="center"/>
          </w:tcPr>
          <w:p>
            <w:pPr>
              <w:keepNext w:val="0"/>
              <w:keepLines w:val="0"/>
              <w:pageBreakBefore w:val="0"/>
              <w:widowControl w:val="0"/>
              <w:kinsoku/>
              <w:wordWrap/>
              <w:overflowPunct/>
              <w:topLinePunct w:val="0"/>
              <w:autoSpaceDE/>
              <w:autoSpaceDN/>
              <w:bidi w:val="0"/>
              <w:adjustRightInd/>
              <w:snapToGrid/>
              <w:spacing w:line="20" w:lineRule="exact"/>
              <w:textAlignment w:val="auto"/>
            </w:pPr>
          </w:p>
        </w:tc>
        <w:tc>
          <w:tcPr>
            <w:tcW w:w="4263" w:type="dxa"/>
            <w:tcBorders>
              <w:top w:val="single" w:color="4684D3" w:sz="8" w:space="0"/>
              <w:left w:val="single" w:color="FEFEFE" w:sz="8" w:space="0"/>
              <w:bottom w:val="nil"/>
              <w:right w:val="single" w:color="FEFEFE" w:sz="8" w:space="0"/>
            </w:tcBorders>
            <w:shd w:val="clear" w:color="auto" w:fill="FEFEFE"/>
            <w:vAlign w:val="center"/>
          </w:tcPr>
          <w:p>
            <w:pPr>
              <w:keepNext w:val="0"/>
              <w:keepLines w:val="0"/>
              <w:pageBreakBefore w:val="0"/>
              <w:widowControl w:val="0"/>
              <w:kinsoku/>
              <w:wordWrap/>
              <w:overflowPunct/>
              <w:topLinePunct w:val="0"/>
              <w:autoSpaceDE/>
              <w:autoSpaceDN/>
              <w:bidi w:val="0"/>
              <w:adjustRightInd/>
              <w:snapToGrid/>
              <w:spacing w:line="20" w:lineRule="exact"/>
              <w:textAlignment w:val="auto"/>
              <w:rPr>
                <w:rFonts w:hint="eastAsia"/>
              </w:rPr>
            </w:pP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567" w:hRule="atLeast"/>
          <w:jc w:val="center"/>
        </w:trPr>
        <w:tc>
          <w:tcPr>
            <w:tcW w:w="2128" w:type="dxa"/>
            <w:vMerge w:val="continue"/>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rPr>
            </w:pPr>
          </w:p>
        </w:tc>
        <w:tc>
          <w:tcPr>
            <w:tcW w:w="7727" w:type="dxa"/>
            <w:gridSpan w:val="2"/>
            <w:tcBorders>
              <w:top w:val="nil"/>
              <w:left w:val="single" w:color="FEFEFE" w:sz="8" w:space="0"/>
              <w:bottom w:val="single" w:color="4684D3" w:sz="8" w:space="0"/>
              <w:right w:val="single" w:color="FEFEFE" w:sz="8" w:space="0"/>
            </w:tcBorders>
            <w:shd w:val="clear" w:color="auto" w:fill="FEFEFE"/>
            <w:vAlign w:val="center"/>
          </w:tcPr>
          <w:p>
            <w:pPr>
              <w:pStyle w:val="18"/>
              <w:keepNext w:val="0"/>
              <w:keepLines w:val="0"/>
              <w:pageBreakBefore w:val="0"/>
              <w:widowControl w:val="0"/>
              <w:kinsoku/>
              <w:wordWrap/>
              <w:overflowPunct/>
              <w:topLinePunct w:val="0"/>
              <w:autoSpaceDE/>
              <w:autoSpaceDN/>
              <w:bidi w:val="0"/>
              <w:adjustRightInd/>
              <w:snapToGrid/>
              <w:spacing w:before="0" w:beforeAutospacing="0" w:after="0" w:afterAutospacing="0" w:line="252" w:lineRule="auto"/>
              <w:jc w:val="left"/>
              <w:textAlignment w:val="auto"/>
              <w:rPr>
                <w:rFonts w:hint="eastAsia" w:ascii="宋体" w:hAnsi="等线" w:eastAsia="等线" w:cs="宋体"/>
                <w:b w:val="0"/>
                <w:bCs w:val="0"/>
                <w:color w:val="auto"/>
                <w:kern w:val="0"/>
                <w:sz w:val="16"/>
                <w:szCs w:val="16"/>
                <w:lang w:val="en-US" w:eastAsia="zh-CN" w:bidi="ar-SA"/>
              </w:rPr>
            </w:pPr>
            <w:r>
              <w:rPr>
                <w:rFonts w:hint="eastAsia" w:hAnsi="等线"/>
                <w:b w:val="0"/>
                <w:bCs w:val="0"/>
                <w:color w:val="auto"/>
                <w:sz w:val="16"/>
                <w:szCs w:val="16"/>
                <w:lang w:val="en-US" w:eastAsia="zh-CN"/>
              </w:rPr>
              <w:t>说明：</w:t>
            </w:r>
            <w:r>
              <w:rPr>
                <w:rFonts w:hint="eastAsia" w:hAnsi="等线" w:cs="Arial"/>
                <w:b w:val="0"/>
                <w:bCs w:val="0"/>
                <w:color w:val="auto"/>
                <w:sz w:val="16"/>
                <w:szCs w:val="16"/>
                <w:lang w:val="en-US" w:eastAsia="zh-CN"/>
              </w:rPr>
              <w:t>由于本样本未送检外周血对照样本，无法完全确定突变是否为胚系变异。若检测到突变，建议临床医生结合患者家族史等信息，谨慎参考本次检测结果。必要时，可送检外周血对照样本，排除胚系变异的可能。</w:t>
            </w:r>
          </w:p>
        </w:tc>
      </w:tr>
    </w:tbl>
    <w:p>
      <w:pPr>
        <w:rPr>
          <w:rFonts w:hint="eastAsia"/>
        </w:rPr>
      </w:pPr>
      <w:r>
        <w:rPr>
          <w:rFonts w:hint="eastAsia"/>
        </w:rPr>
        <w:t>注：汇总表格内只包含具有临床意义及潜在临床意义的突变，临床意义未明的突变见详细解读。</w:t>
      </w:r>
    </w:p>
    <w:p>
      <w:pPr>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eastAsia" w:hAnsi="等线" w:cs="Arial"/>
          <w:b/>
          <w:bCs/>
          <w:color w:val="00B0F0"/>
          <w:sz w:val="28"/>
          <w:szCs w:val="28"/>
        </w:rPr>
      </w:pPr>
      <w:bookmarkStart w:id="17" w:name="_Toc89103143"/>
      <w:r>
        <w:rPr>
          <w:rFonts w:hint="eastAsia" w:hAnsi="等线" w:cs="Arial"/>
          <w:b/>
          <w:bCs/>
          <w:color w:val="00B0F0"/>
          <w:sz w:val="28"/>
          <w:szCs w:val="28"/>
        </w:rPr>
        <w:drawing>
          <wp:anchor distT="0" distB="0" distL="114300" distR="114300" simplePos="0" relativeHeight="251696128" behindDoc="0" locked="0" layoutInCell="1" allowOverlap="1">
            <wp:simplePos x="0" y="0"/>
            <wp:positionH relativeFrom="column">
              <wp:posOffset>90170</wp:posOffset>
            </wp:positionH>
            <wp:positionV relativeFrom="paragraph">
              <wp:posOffset>55245</wp:posOffset>
            </wp:positionV>
            <wp:extent cx="272415" cy="277495"/>
            <wp:effectExtent l="0" t="0" r="1905" b="12065"/>
            <wp:wrapNone/>
            <wp:docPr id="1011" name="图片 42"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18" w:name="靶向用药检测小结"/>
      <w:bookmarkEnd w:id="18"/>
      <w:r>
        <w:rPr>
          <w:rFonts w:hint="eastAsia" w:hAnsi="等线" w:cs="Arial"/>
          <w:b/>
          <w:bCs/>
          <w:color w:val="00B0F0"/>
          <w:sz w:val="28"/>
          <w:szCs w:val="28"/>
          <w:lang w:val="en-US" w:eastAsia="zh-CN"/>
        </w:rPr>
        <w:t>靶向用药基因</w:t>
      </w:r>
      <w:r>
        <w:rPr>
          <w:rFonts w:hint="eastAsia" w:hAnsi="等线" w:cs="Arial"/>
          <w:b/>
          <w:bCs/>
          <w:color w:val="00B0F0"/>
          <w:sz w:val="28"/>
          <w:szCs w:val="28"/>
        </w:rPr>
        <w:t>检测结果</w:t>
      </w:r>
      <w:bookmarkEnd w:id="17"/>
    </w:p>
    <w:tbl>
      <w:tblPr>
        <w:tblStyle w:val="58"/>
        <w:tblW w:w="5000" w:type="pct"/>
        <w:tblInd w:w="74"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227"/>
        <w:gridCol w:w="30"/>
        <w:gridCol w:w="1094"/>
        <w:gridCol w:w="1876"/>
        <w:gridCol w:w="1876"/>
        <w:gridCol w:w="1876"/>
        <w:gridCol w:w="1876"/>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5B9BD5" w:themeColor="accent5" w:sz="4" w:space="0"/>
              <w:left w:val="single" w:color="5B9BD5" w:themeColor="accent5" w:sz="4" w:space="0"/>
              <w:bottom w:val="single" w:color="FFFFFF" w:sz="24" w:space="0"/>
              <w:right w:val="single" w:color="5B9BD5" w:themeColor="accent5" w:sz="4" w:space="0"/>
              <w:insideV w:val="nil"/>
            </w:tcBorders>
            <w:shd w:val="clear" w:color="auto" w:fill="4472C4"/>
            <w:vAlign w:val="center"/>
          </w:tcPr>
          <w:p>
            <w:pPr>
              <w:snapToGrid w:val="0"/>
              <w:jc w:val="center"/>
              <w:rPr>
                <w:rFonts w:hAnsi="等线"/>
                <w:b/>
                <w:bCs w:val="0"/>
                <w:color w:val="000000"/>
                <w:szCs w:val="21"/>
              </w:rPr>
            </w:pPr>
            <w:bookmarkStart w:id="19" w:name="小结1"/>
            <w:r>
              <w:rPr>
                <w:rFonts w:hint="eastAsia" w:hAnsi="等线"/>
                <w:b/>
                <w:bCs/>
                <w:color w:val="FFFFFF"/>
                <w:sz w:val="24"/>
                <w:szCs w:val="24"/>
              </w:rPr>
              <w:t>靶向用药</w:t>
            </w:r>
            <w:r>
              <w:rPr>
                <w:rFonts w:hint="eastAsia" w:hAnsi="等线"/>
                <w:b/>
                <w:bCs/>
                <w:color w:val="FFFFFF"/>
                <w:sz w:val="24"/>
                <w:szCs w:val="24"/>
                <w:lang w:val="en-US" w:eastAsia="zh-CN"/>
              </w:rPr>
              <w:t>基因</w:t>
            </w:r>
            <w:r>
              <w:rPr>
                <w:rFonts w:hint="eastAsia" w:hAnsi="等线"/>
                <w:b/>
                <w:bCs/>
                <w:color w:val="FFFFFF"/>
                <w:sz w:val="24"/>
                <w:szCs w:val="24"/>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122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b/>
                <w:bCs/>
                <w:szCs w:val="21"/>
              </w:rPr>
            </w:pPr>
            <w:r>
              <w:rPr>
                <w:rFonts w:hint="eastAsia" w:hAnsi="等线"/>
                <w:b w:val="0"/>
                <w:bCs w:val="0"/>
                <w:szCs w:val="21"/>
              </w:rPr>
              <w:t>结果统计</w:t>
            </w:r>
          </w:p>
        </w:tc>
        <w:tc>
          <w:tcPr>
            <w:tcW w:w="8628" w:type="dxa"/>
            <w:gridSpan w:val="6"/>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Ansi="等线"/>
                <w:sz w:val="24"/>
                <w:szCs w:val="24"/>
              </w:rPr>
            </w:pPr>
            <w:r>
              <w:rPr>
                <w:rFonts w:hint="eastAsia" w:hAnsi="等线"/>
                <w:szCs w:val="21"/>
              </w:rPr>
              <w:t xml:space="preserve">检出</w:t>
            </w:r>
            <w:r>
              <w:rPr>
                <w:rFonts w:hAnsi="等线"/>
                <w:szCs w:val="21"/>
              </w:rPr>
              <w:t xml:space="preserve"> 3</w:t>
            </w:r>
            <w:r>
              <w:rPr>
                <w:rFonts w:hAnsi="等线"/>
                <w:szCs w:val="21"/>
              </w:rPr>
              <w:t xml:space="preserve"> 个具有明确或潜在临床意义的基因变异。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b/>
                <w:bCs w:val="0"/>
                <w:color w:val="000000"/>
                <w:szCs w:val="21"/>
              </w:rPr>
            </w:pPr>
            <w:r>
              <w:rPr>
                <w:rFonts w:hint="eastAsia" w:hAnsi="等线"/>
                <w:b/>
                <w:bCs/>
                <w:color w:val="FFFFFF"/>
                <w:sz w:val="24"/>
                <w:szCs w:val="24"/>
              </w:rPr>
              <w:t>靶向治疗提示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10"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bCs w:val="0"/>
                <w:color w:val="FFFFFF"/>
                <w:sz w:val="18"/>
                <w:szCs w:val="18"/>
              </w:rPr>
            </w:pPr>
            <w:r>
              <w:rPr>
                <w:rFonts w:hint="eastAsia" w:hAnsi="等线" w:cs="宋体"/>
                <w:b/>
                <w:bCs/>
                <w:color w:val="FFFFFF"/>
                <w:sz w:val="18"/>
                <w:szCs w:val="18"/>
              </w:rPr>
              <w:t>基因突变</w:t>
            </w:r>
          </w:p>
        </w:tc>
        <w:tc>
          <w:tcPr>
            <w:tcW w:w="109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突变丰度/</w:t>
            </w:r>
          </w:p>
          <w:p>
            <w:pPr>
              <w:snapToGrid w:val="0"/>
              <w:jc w:val="center"/>
              <w:rPr>
                <w:rFonts w:hAnsi="等线" w:cs="宋体"/>
                <w:b/>
                <w:color w:val="FFFFFF"/>
                <w:sz w:val="18"/>
                <w:szCs w:val="18"/>
              </w:rPr>
            </w:pPr>
            <w:r>
              <w:rPr>
                <w:rFonts w:hint="eastAsia" w:hAnsi="等线" w:cs="宋体"/>
                <w:b/>
                <w:color w:val="FFFFFF"/>
                <w:sz w:val="18"/>
                <w:szCs w:val="18"/>
              </w:rPr>
              <w:t>拷贝数</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FDA/NMPA/NCCN推荐本癌种药物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FDA/NMPA/NCCN推荐其他癌种药物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临床试验药物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 xml:space="preserve">潜在耐药药物</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 xml:space="preserve">KRAS</w:t>
            </w:r>
          </w:p>
          <w:p>
            <w:pPr>
              <w:widowControl/>
              <w:jc w:val="center"/>
              <w:rPr>
                <w:rFonts w:hint="eastAsia" w:hAnsi="等线" w:cs="宋体"/>
                <w:b/>
                <w:bCs/>
                <w:i w:val="0"/>
                <w:iCs/>
                <w:color w:val="404040"/>
                <w:sz w:val="18"/>
                <w:szCs w:val="18"/>
                <w:lang w:eastAsia="zh-CN" w:bidi="ar"/>
              </w:rPr>
            </w:pPr>
            <w:r>
              <w:rPr>
                <w:rFonts w:hint="eastAsia" w:hAnsi="等线" w:cs="宋体"/>
                <w:b/>
                <w:bCs/>
                <w:i w:val="0"/>
                <w:iCs/>
                <w:color w:val="404040"/>
                <w:sz w:val="18"/>
                <w:szCs w:val="18"/>
                <w:lang w:bidi="ar"/>
              </w:rPr>
              <w:t xml:space="preserve">p.G12V</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bidi="ar"/>
              </w:rPr>
              <w:t xml:space="preserve">22.18%</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考比替尼 + Ipatasertib 【C 级】</w:t>
              <w:br/>
              <w:t xml:space="preserve">贝美替尼 【C 级】</w:t>
              <w:br/>
              <w:t xml:space="preserve">曲美替尼 【D 级】</w:t>
              <w:br/>
              <w:t xml:space="preserve">RMC-6236 【D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西妥昔单抗 【C 级】</w:t>
              <w:br/>
              <w:t xml:space="preserve">曲妥珠单抗 + 妥卡替尼 【C 级】</w:t>
              <w:br/>
              <w:t xml:space="preserve">帕尼单抗 【C 级】</w:t>
              <w:br/>
              <w:t xml:space="preserve">曲妥珠单抗 + 帕妥珠单抗,曲妥珠单抗 + 拉帕替尼,trastuzumab deruxtecan 【C 级】</w:t>
              <w:br/>
              <w:t xml:space="preserve">EGFR-TKI 【C 级】</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 xml:space="preserve">PIK3CA</w:t>
            </w:r>
          </w:p>
          <w:p>
            <w:pPr>
              <w:widowControl/>
              <w:jc w:val="center"/>
              <w:rPr>
                <w:rFonts w:hint="eastAsia" w:hAnsi="等线" w:cs="宋体"/>
                <w:b/>
                <w:bCs/>
                <w:i w:val="0"/>
                <w:iCs/>
                <w:color w:val="404040"/>
                <w:sz w:val="18"/>
                <w:szCs w:val="18"/>
                <w:lang w:eastAsia="zh-CN" w:bidi="ar"/>
              </w:rPr>
            </w:pPr>
            <w:r>
              <w:rPr>
                <w:rFonts w:hint="eastAsia" w:hAnsi="等线" w:cs="宋体"/>
                <w:b/>
                <w:bCs/>
                <w:i w:val="0"/>
                <w:iCs/>
                <w:color w:val="404040"/>
                <w:sz w:val="18"/>
                <w:szCs w:val="18"/>
                <w:lang w:bidi="ar"/>
              </w:rPr>
              <w:t xml:space="preserve">p.Q546K</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bidi="ar"/>
              </w:rPr>
              <w:t xml:space="preserve">2.4%</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阿培利司 【C 级】</w:t>
              <w:br/>
              <w:t xml:space="preserve">RLY-2608 【D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int="eastAsia" w:hAnsi="等线" w:eastAsia="等线"/>
                <w:b/>
                <w:bCs w:val="0"/>
                <w:i w:val="0"/>
                <w:iCs/>
                <w:color w:val="404040"/>
                <w:sz w:val="18"/>
                <w:szCs w:val="18"/>
                <w:lang w:eastAsia="zh-CN"/>
              </w:rPr>
            </w:pPr>
            <w:r>
              <w:rPr>
                <w:rFonts w:hint="eastAsia" w:ascii="等线" w:hAnsi="等线"/>
                <w:b/>
                <w:bCs w:val="0"/>
                <w:i w:val="0"/>
                <w:iCs/>
                <w:color w:val="404040"/>
                <w:kern w:val="2"/>
                <w:sz w:val="18"/>
                <w:szCs w:val="18"/>
                <w:lang w:bidi="ar"/>
              </w:rPr>
              <w:t xml:space="preserve">TP53</w:t>
            </w:r>
          </w:p>
          <w:p>
            <w:pPr>
              <w:widowControl/>
              <w:jc w:val="center"/>
              <w:rPr>
                <w:rFonts w:hint="eastAsia" w:hAnsi="等线" w:cs="宋体"/>
                <w:b/>
                <w:bCs/>
                <w:i w:val="0"/>
                <w:iCs/>
                <w:color w:val="404040"/>
                <w:sz w:val="18"/>
                <w:szCs w:val="18"/>
                <w:lang w:eastAsia="zh-CN" w:bidi="ar"/>
              </w:rPr>
            </w:pPr>
            <w:r>
              <w:rPr>
                <w:rFonts w:hint="eastAsia" w:hAnsi="等线" w:cs="宋体"/>
                <w:b/>
                <w:bCs/>
                <w:i w:val="0"/>
                <w:iCs/>
                <w:color w:val="404040"/>
                <w:sz w:val="18"/>
                <w:szCs w:val="18"/>
                <w:lang w:bidi="ar"/>
              </w:rPr>
              <w:t xml:space="preserve">p.V73Rfs*76</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eastAsia="等线" w:cs="宋体"/>
                <w:color w:val="000000"/>
                <w:sz w:val="18"/>
                <w:szCs w:val="18"/>
                <w:lang w:eastAsia="zh-CN"/>
              </w:rPr>
            </w:pPr>
            <w:r>
              <w:rPr>
                <w:rFonts w:hint="eastAsia" w:hAnsi="等线" w:cs="宋体"/>
                <w:color w:val="404040"/>
                <w:sz w:val="18"/>
                <w:szCs w:val="18"/>
                <w:lang w:bidi="ar"/>
              </w:rPr>
              <w:t xml:space="preserve">27.53%</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default" w:hAnsi="等线" w:cs="宋体"/>
                <w:color w:val="404040"/>
                <w:sz w:val="18"/>
                <w:szCs w:val="18"/>
                <w:lang w:val="en-US"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bidi="ar"/>
              </w:rPr>
              <w:t xml:space="preserve">培唑帕尼 + 伏立诺他 【C 级】</w:t>
              <w:br/>
              <w:t xml:space="preserve">贝伐珠单抗 【C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int="eastAsia" w:hAnsi="等线" w:cs="宋体"/>
                <w:color w:val="404040"/>
                <w:sz w:val="18"/>
                <w:szCs w:val="18"/>
                <w:lang w:eastAsia="zh-CN" w:bidi="ar"/>
              </w:rPr>
            </w:pPr>
            <w:r>
              <w:rPr>
                <w:rFonts w:hint="eastAsia" w:hAnsi="等线" w:cs="宋体"/>
                <w:color w:val="404040"/>
                <w:sz w:val="18"/>
                <w:szCs w:val="18"/>
                <w:lang w:val="en-US" w:eastAsia="zh-CN" w:bidi="ar"/>
              </w:rPr>
              <w:t>/</w:t>
            </w:r>
          </w:p>
        </w:tc>
      </w:tr>
      <w:bookmarkEnd w:id="19"/>
    </w:tbl>
    <w:p/>
    <w:p>
      <w:pPr>
        <w:rPr>
          <w:rFonts w:hAnsi="等线"/>
        </w:rPr>
      </w:pPr>
    </w:p>
    <w:p>
      <w:pPr>
        <w:snapToGrid w:val="0"/>
        <w:spacing w:after="156" w:afterLines="50"/>
        <w:jc w:val="left"/>
        <w:rPr>
          <w:rFonts w:hAnsi="等线"/>
          <w:b/>
          <w:bCs/>
          <w:szCs w:val="21"/>
        </w:rPr>
      </w:pPr>
      <w:r>
        <w:rPr>
          <w:rFonts w:hint="eastAsia" w:hAnsi="等线"/>
          <w:b/>
          <w:bCs/>
          <w:szCs w:val="21"/>
        </w:rPr>
        <w:t>说明：</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本报告参考美国病理学会(</w:t>
      </w:r>
      <w:r>
        <w:rPr>
          <w:rFonts w:hAnsi="等线"/>
          <w:sz w:val="18"/>
          <w:szCs w:val="18"/>
        </w:rPr>
        <w:t>AMP)</w:t>
      </w:r>
      <w:r>
        <w:rPr>
          <w:rFonts w:hint="eastAsia" w:hAnsi="等线"/>
          <w:sz w:val="18"/>
          <w:szCs w:val="18"/>
        </w:rPr>
        <w:t>、美国临床肿瘤学会(</w:t>
      </w:r>
      <w:r>
        <w:rPr>
          <w:rFonts w:hAnsi="等线"/>
          <w:sz w:val="18"/>
          <w:szCs w:val="18"/>
        </w:rPr>
        <w:t>ASCO)</w:t>
      </w:r>
      <w:r>
        <w:rPr>
          <w:rFonts w:hint="eastAsia" w:hAnsi="等线"/>
          <w:sz w:val="18"/>
          <w:szCs w:val="18"/>
        </w:rPr>
        <w:t>和美国病理学家学会(</w:t>
      </w:r>
      <w:r>
        <w:rPr>
          <w:rFonts w:hAnsi="等线"/>
          <w:sz w:val="18"/>
          <w:szCs w:val="18"/>
        </w:rPr>
        <w:t>CAP)</w:t>
      </w:r>
      <w:r>
        <w:rPr>
          <w:rFonts w:hint="eastAsia" w:hAnsi="等线"/>
          <w:sz w:val="18"/>
          <w:szCs w:val="18"/>
        </w:rPr>
        <w:t>共同参与制定的癌症序列变异解读与报告标准指南 (2</w:t>
      </w:r>
      <w:r>
        <w:rPr>
          <w:rFonts w:hAnsi="等线"/>
          <w:sz w:val="18"/>
          <w:szCs w:val="18"/>
        </w:rPr>
        <w:t>017</w:t>
      </w:r>
      <w:r>
        <w:rPr>
          <w:rFonts w:hint="eastAsia" w:hAnsi="等线"/>
          <w:sz w:val="18"/>
          <w:szCs w:val="18"/>
        </w:rPr>
        <w:t>年版)</w:t>
      </w:r>
      <w:r>
        <w:rPr>
          <w:rFonts w:hAnsi="等线"/>
          <w:sz w:val="18"/>
          <w:szCs w:val="18"/>
        </w:rPr>
        <w:t xml:space="preserve"> </w:t>
      </w:r>
      <w:r>
        <w:rPr>
          <w:rFonts w:hint="eastAsia" w:hAnsi="等线"/>
          <w:sz w:val="18"/>
          <w:szCs w:val="18"/>
        </w:rPr>
        <w:t>以及中国临床肿瘤学会(</w:t>
      </w:r>
      <w:r>
        <w:rPr>
          <w:rFonts w:hAnsi="等线"/>
          <w:sz w:val="18"/>
          <w:szCs w:val="18"/>
        </w:rPr>
        <w:t>CSCO</w:t>
      </w:r>
      <w:r>
        <w:rPr>
          <w:rFonts w:hint="eastAsia" w:hAnsi="等线"/>
          <w:sz w:val="18"/>
          <w:szCs w:val="18"/>
        </w:rPr>
        <w:t>)</w:t>
      </w:r>
      <w:r>
        <w:rPr>
          <w:rFonts w:hAnsi="等线"/>
          <w:sz w:val="18"/>
          <w:szCs w:val="18"/>
        </w:rPr>
        <w:t>肿瘤生物标志物专家委员会</w:t>
      </w:r>
      <w:r>
        <w:rPr>
          <w:rFonts w:hint="eastAsia" w:hAnsi="等线"/>
          <w:sz w:val="18"/>
          <w:szCs w:val="18"/>
        </w:rPr>
        <w:t>组织撰写的《肿瘤二代测序临床报告解读共识》(2</w:t>
      </w:r>
      <w:r>
        <w:rPr>
          <w:rFonts w:hAnsi="等线"/>
          <w:sz w:val="18"/>
          <w:szCs w:val="18"/>
        </w:rPr>
        <w:t>022</w:t>
      </w:r>
      <w:r>
        <w:rPr>
          <w:rFonts w:hint="eastAsia" w:hAnsi="等线"/>
          <w:sz w:val="18"/>
          <w:szCs w:val="18"/>
        </w:rPr>
        <w:t>年版)，根据生物标志物的药物敏感性证据级别，将体细胞变异分为I~I</w:t>
      </w:r>
      <w:r>
        <w:rPr>
          <w:rFonts w:hAnsi="等线"/>
          <w:sz w:val="18"/>
          <w:szCs w:val="18"/>
        </w:rPr>
        <w:t>V</w:t>
      </w:r>
      <w:r>
        <w:rPr>
          <w:rFonts w:hint="eastAsia" w:hAnsi="等线"/>
          <w:sz w:val="18"/>
          <w:szCs w:val="18"/>
        </w:rPr>
        <w:t>类变异：</w:t>
      </w:r>
    </w:p>
    <w:tbl>
      <w:tblPr>
        <w:tblStyle w:val="21"/>
        <w:tblW w:w="4800" w:type="pct"/>
        <w:jc w:val="right"/>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Layout w:type="autofit"/>
        <w:tblCellMar>
          <w:top w:w="0" w:type="dxa"/>
          <w:left w:w="108" w:type="dxa"/>
          <w:bottom w:w="0" w:type="dxa"/>
          <w:right w:w="108" w:type="dxa"/>
        </w:tblCellMar>
      </w:tblPr>
      <w:tblGrid>
        <w:gridCol w:w="427"/>
        <w:gridCol w:w="1081"/>
        <w:gridCol w:w="7953"/>
      </w:tblGrid>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1508" w:type="dxa"/>
            <w:gridSpan w:val="2"/>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jc w:val="center"/>
              <w:textAlignment w:val="auto"/>
              <w:rPr>
                <w:rFonts w:hAnsi="等线"/>
                <w:sz w:val="18"/>
                <w:szCs w:val="18"/>
                <w:lang w:val="zh-CN"/>
              </w:rPr>
            </w:pPr>
            <w:r>
              <w:rPr>
                <w:rFonts w:hint="eastAsia" w:hAnsi="等线"/>
                <w:sz w:val="18"/>
                <w:szCs w:val="18"/>
                <w:lang w:val="zh-CN"/>
              </w:rPr>
              <w:t>证据分级</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jc w:val="center"/>
              <w:textAlignment w:val="auto"/>
              <w:rPr>
                <w:rFonts w:hAnsi="等线"/>
                <w:sz w:val="18"/>
                <w:szCs w:val="18"/>
                <w:lang w:val="zh-CN"/>
              </w:rPr>
            </w:pPr>
            <w:r>
              <w:rPr>
                <w:rFonts w:hint="eastAsia" w:hAnsi="等线"/>
                <w:sz w:val="18"/>
                <w:szCs w:val="18"/>
                <w:lang w:val="zh-CN"/>
              </w:rPr>
              <w:t>药物敏感性证据</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eastAsia" w:hAnsi="等线"/>
                <w:sz w:val="18"/>
                <w:szCs w:val="18"/>
              </w:rPr>
              <w:t>Ⅰ类变异（具有重要的临床意义）：</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restart"/>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default" w:hAnsi="等线"/>
                <w:sz w:val="18"/>
                <w:szCs w:val="18"/>
                <w:lang w:val="zh-CN"/>
              </w:rPr>
              <w:t>A</w:t>
            </w:r>
            <w:r>
              <w:rPr>
                <w:rFonts w:hint="eastAsia" w:hAnsi="等线"/>
                <w:sz w:val="18"/>
                <w:szCs w:val="18"/>
                <w:lang w:val="en-US" w:eastAsia="zh-CN"/>
              </w:rPr>
              <w:t xml:space="preserve"> 级</w:t>
            </w:r>
            <w:r>
              <w:rPr>
                <w:rFonts w:hint="eastAsia" w:hAnsi="等线"/>
                <w:sz w:val="18"/>
                <w:szCs w:val="18"/>
                <w:lang w:val="zh-CN"/>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lang w:val="zh-CN"/>
              </w:rPr>
            </w:pPr>
            <w:r>
              <w:rPr>
                <w:rFonts w:hAnsi="等线"/>
                <w:sz w:val="18"/>
                <w:szCs w:val="18"/>
                <w:lang w:val="zh-CN"/>
              </w:rPr>
              <w:t>A1</w:t>
            </w:r>
            <w:r>
              <w:rPr>
                <w:rFonts w:hint="eastAsia" w:hAnsi="等线"/>
                <w:sz w:val="18"/>
                <w:szCs w:val="18"/>
                <w:lang w:val="zh-CN"/>
              </w:rPr>
              <w:t>级：</w:t>
            </w:r>
            <w:r>
              <w:rPr>
                <w:rFonts w:hAnsi="等线"/>
                <w:sz w:val="18"/>
                <w:szCs w:val="18"/>
                <w:lang w:val="zh-CN"/>
              </w:rPr>
              <w:t>NMPA</w:t>
            </w:r>
            <w:r>
              <w:rPr>
                <w:rFonts w:hint="eastAsia" w:hAnsi="等线"/>
                <w:sz w:val="18"/>
                <w:szCs w:val="18"/>
                <w:lang w:val="zh-CN"/>
              </w:rPr>
              <w:t>、</w:t>
            </w:r>
            <w:r>
              <w:rPr>
                <w:rFonts w:hAnsi="等线"/>
                <w:sz w:val="18"/>
                <w:szCs w:val="18"/>
                <w:lang w:val="zh-CN"/>
              </w:rPr>
              <w:t>FDA</w:t>
            </w:r>
            <w:r>
              <w:rPr>
                <w:rFonts w:hint="eastAsia" w:hAnsi="等线"/>
                <w:sz w:val="18"/>
                <w:szCs w:val="18"/>
                <w:lang w:val="zh-CN"/>
              </w:rPr>
              <w:t>或其他国家药监部门批准</w:t>
            </w:r>
            <w:r>
              <w:rPr>
                <w:rFonts w:hint="eastAsia" w:hAnsi="等线"/>
                <w:sz w:val="18"/>
                <w:szCs w:val="18"/>
                <w:lang w:val="zh-CN"/>
              </w:rPr>
              <w:br w:type="textWrapping"/>
            </w:r>
            <w:r>
              <w:rPr>
                <w:rFonts w:hAnsi="等线"/>
                <w:sz w:val="18"/>
                <w:szCs w:val="18"/>
                <w:lang w:val="zh-CN"/>
              </w:rPr>
              <w:t>A2</w:t>
            </w:r>
            <w:r>
              <w:rPr>
                <w:rFonts w:hint="eastAsia" w:hAnsi="等线"/>
                <w:sz w:val="18"/>
                <w:szCs w:val="18"/>
                <w:lang w:val="zh-CN"/>
              </w:rPr>
              <w:t>级：专业临床指南（如</w:t>
            </w:r>
            <w:r>
              <w:rPr>
                <w:rFonts w:hAnsi="等线"/>
                <w:sz w:val="18"/>
                <w:szCs w:val="18"/>
                <w:lang w:val="zh-CN"/>
              </w:rPr>
              <w:t>CSCO</w:t>
            </w:r>
            <w:r>
              <w:rPr>
                <w:rFonts w:hint="eastAsia" w:hAnsi="等线"/>
                <w:sz w:val="18"/>
                <w:szCs w:val="18"/>
                <w:lang w:val="zh-CN"/>
              </w:rPr>
              <w:t>/</w:t>
            </w:r>
            <w:r>
              <w:rPr>
                <w:rFonts w:hAnsi="等线"/>
                <w:sz w:val="18"/>
                <w:szCs w:val="18"/>
                <w:lang w:val="zh-CN"/>
              </w:rPr>
              <w:t>NCCN</w:t>
            </w:r>
            <w:r>
              <w:rPr>
                <w:rFonts w:hint="eastAsia" w:hAnsi="等线"/>
                <w:sz w:val="18"/>
                <w:szCs w:val="18"/>
                <w:lang w:val="zh-CN"/>
              </w:rPr>
              <w:t>临床指南）推荐</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continue"/>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default" w:hAnsi="等线"/>
                <w:sz w:val="18"/>
                <w:szCs w:val="18"/>
                <w:lang w:val="zh-CN"/>
              </w:rPr>
              <w:t>B</w:t>
            </w:r>
            <w:r>
              <w:rPr>
                <w:rFonts w:hint="eastAsia" w:hAnsi="等线"/>
                <w:sz w:val="18"/>
                <w:szCs w:val="18"/>
                <w:lang w:val="en-US" w:eastAsia="zh-CN"/>
              </w:rPr>
              <w:t xml:space="preserve"> 级</w:t>
            </w:r>
            <w:r>
              <w:rPr>
                <w:rFonts w:hint="eastAsia" w:hAnsi="等线"/>
                <w:sz w:val="18"/>
                <w:szCs w:val="18"/>
                <w:lang w:val="zh-CN"/>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rPr>
            </w:pPr>
            <w:r>
              <w:rPr>
                <w:rFonts w:hint="eastAsia" w:hAnsi="等线"/>
                <w:sz w:val="18"/>
                <w:szCs w:val="18"/>
                <w:lang w:val="zh-CN"/>
              </w:rPr>
              <w:t>经具有统计学效能的临床研究（如拟用于注册申请的关键临床研究、基于该分子标志物入组的</w:t>
            </w:r>
            <w:r>
              <w:rPr>
                <w:rFonts w:hint="eastAsia" w:hAnsi="等线"/>
                <w:sz w:val="18"/>
                <w:szCs w:val="18"/>
                <w:lang w:val="zh-CN"/>
              </w:rPr>
              <w:br w:type="textWrapping"/>
            </w:r>
            <w:r>
              <w:rPr>
                <w:rFonts w:hint="eastAsia" w:hAnsi="等线"/>
                <w:sz w:val="18"/>
                <w:szCs w:val="18"/>
                <w:lang w:val="zh-CN"/>
              </w:rPr>
              <w:t>Ⅱ</w:t>
            </w:r>
            <w:r>
              <w:rPr>
                <w:rFonts w:hAnsi="等线"/>
                <w:sz w:val="18"/>
                <w:szCs w:val="18"/>
                <w:lang w:val="zh-CN"/>
              </w:rPr>
              <w:t>/Ⅲ期</w:t>
            </w:r>
            <w:r>
              <w:rPr>
                <w:rFonts w:hint="eastAsia" w:hAnsi="等线"/>
                <w:sz w:val="18"/>
                <w:szCs w:val="18"/>
                <w:lang w:val="zh-CN"/>
              </w:rPr>
              <w:t>临床研究）证实、获得该领域专家共识（如</w:t>
            </w:r>
            <w:r>
              <w:rPr>
                <w:rFonts w:hAnsi="等线"/>
                <w:sz w:val="18"/>
                <w:szCs w:val="18"/>
                <w:lang w:val="zh-CN"/>
              </w:rPr>
              <w:t>IASLC检测手册</w:t>
            </w:r>
            <w:r>
              <w:rPr>
                <w:rFonts w:hint="eastAsia" w:hAnsi="等线"/>
                <w:sz w:val="18"/>
                <w:szCs w:val="18"/>
                <w:lang w:val="zh-CN"/>
              </w:rPr>
              <w:t>）</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-Ⅱ类变异（具有潜在的临床意义）：</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restart"/>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vMerge w:val="restart"/>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lang w:val="zh-CN"/>
              </w:rPr>
            </w:pPr>
            <w:r>
              <w:rPr>
                <w:rFonts w:hAnsi="等线"/>
                <w:sz w:val="18"/>
                <w:szCs w:val="18"/>
              </w:rPr>
              <w:t>-</w:t>
            </w:r>
            <w:r>
              <w:rPr>
                <w:rFonts w:hint="eastAsia" w:hAnsi="等线"/>
                <w:sz w:val="18"/>
                <w:szCs w:val="18"/>
                <w:lang w:val="en-US" w:eastAsia="zh-CN"/>
              </w:rPr>
              <w:t>C 级</w:t>
            </w:r>
            <w:r>
              <w:rPr>
                <w:rFonts w:hint="eastAsia" w:hAnsi="等线"/>
                <w:sz w:val="18"/>
                <w:szCs w:val="18"/>
              </w:rPr>
              <w:t>：</w:t>
            </w:r>
          </w:p>
        </w:tc>
        <w:tc>
          <w:tcPr>
            <w:tcW w:w="7953" w:type="dxa"/>
            <w:tcBorders>
              <w:bottom w:val="single" w:color="4472C4" w:sz="4" w:space="0"/>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rPr>
            </w:pPr>
            <w:r>
              <w:rPr>
                <w:rFonts w:hAnsi="等线"/>
                <w:sz w:val="18"/>
                <w:szCs w:val="18"/>
                <w:lang w:val="zh-CN"/>
              </w:rPr>
              <w:t>C1</w:t>
            </w:r>
            <w:r>
              <w:rPr>
                <w:rFonts w:hint="eastAsia" w:hAnsi="等线"/>
                <w:sz w:val="18"/>
                <w:szCs w:val="18"/>
                <w:lang w:val="zh-CN"/>
              </w:rPr>
              <w:t>级：多项小型临床研究支持</w:t>
            </w:r>
            <w:r>
              <w:rPr>
                <w:rFonts w:hint="eastAsia" w:hAnsi="等线"/>
                <w:sz w:val="18"/>
                <w:szCs w:val="18"/>
                <w:lang w:val="zh-CN"/>
              </w:rPr>
              <w:br w:type="textWrapping"/>
            </w:r>
            <w:r>
              <w:rPr>
                <w:rFonts w:hAnsi="等线"/>
                <w:sz w:val="18"/>
                <w:szCs w:val="18"/>
                <w:lang w:val="zh-CN"/>
              </w:rPr>
              <w:t>C2</w:t>
            </w:r>
            <w:r>
              <w:rPr>
                <w:rFonts w:hint="eastAsia" w:hAnsi="等线"/>
                <w:sz w:val="18"/>
                <w:szCs w:val="18"/>
                <w:lang w:val="zh-CN"/>
              </w:rPr>
              <w:t>级：已作为当前临床研究的入组标准</w:t>
            </w:r>
            <w:r>
              <w:rPr>
                <w:rFonts w:hint="eastAsia" w:hAnsi="等线"/>
                <w:sz w:val="18"/>
                <w:szCs w:val="18"/>
                <w:lang w:val="zh-CN"/>
              </w:rPr>
              <w:br w:type="textWrapping"/>
            </w:r>
            <w:r>
              <w:rPr>
                <w:rFonts w:hAnsi="等线"/>
                <w:sz w:val="18"/>
                <w:szCs w:val="18"/>
                <w:lang w:val="zh-CN"/>
              </w:rPr>
              <w:t>C3</w:t>
            </w:r>
            <w:r>
              <w:rPr>
                <w:rFonts w:hint="eastAsia" w:hAnsi="等线"/>
                <w:sz w:val="18"/>
                <w:szCs w:val="18"/>
                <w:lang w:val="zh-CN"/>
              </w:rPr>
              <w:t>级：其他癌种的</w:t>
            </w:r>
            <w:r>
              <w:rPr>
                <w:rFonts w:hAnsi="等线"/>
                <w:sz w:val="18"/>
                <w:szCs w:val="18"/>
                <w:lang w:val="zh-CN"/>
              </w:rPr>
              <w:t>A</w:t>
            </w:r>
            <w:r>
              <w:rPr>
                <w:rFonts w:hint="eastAsia" w:hAnsi="等线"/>
                <w:sz w:val="18"/>
                <w:szCs w:val="18"/>
                <w:lang w:val="zh-CN"/>
              </w:rPr>
              <w:t>级</w:t>
            </w:r>
            <w:r>
              <w:rPr>
                <w:rFonts w:hint="eastAsia" w:hAnsi="等线"/>
                <w:sz w:val="18"/>
                <w:szCs w:val="18"/>
              </w:rPr>
              <w:t>证据</w:t>
            </w:r>
            <w:r>
              <w:rPr>
                <w:rFonts w:hint="eastAsia" w:hAnsi="等线"/>
                <w:sz w:val="18"/>
                <w:szCs w:val="18"/>
                <w:lang w:val="zh-CN"/>
              </w:rPr>
              <w:t>（跨适应证用药）</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continue"/>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lang w:val="zh-CN"/>
              </w:rPr>
            </w:pPr>
            <w:r>
              <w:rPr>
                <w:rFonts w:hAnsi="等线"/>
                <w:sz w:val="18"/>
                <w:szCs w:val="18"/>
              </w:rPr>
              <w:t>-</w:t>
            </w:r>
            <w:r>
              <w:rPr>
                <w:rFonts w:hint="eastAsia" w:hAnsi="等线"/>
                <w:sz w:val="18"/>
                <w:szCs w:val="18"/>
                <w:lang w:val="en-US" w:eastAsia="zh-CN"/>
              </w:rPr>
              <w:t>D 级</w:t>
            </w:r>
            <w:r>
              <w:rPr>
                <w:rFonts w:hint="eastAsia" w:hAnsi="等线"/>
                <w:sz w:val="18"/>
                <w:szCs w:val="18"/>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lang w:val="zh-CN"/>
              </w:rPr>
            </w:pPr>
            <w:r>
              <w:rPr>
                <w:rFonts w:hAnsi="等线"/>
                <w:sz w:val="18"/>
                <w:szCs w:val="18"/>
                <w:lang w:val="zh-CN"/>
              </w:rPr>
              <w:t>D1</w:t>
            </w:r>
            <w:r>
              <w:rPr>
                <w:rFonts w:hint="eastAsia" w:hAnsi="等线"/>
                <w:sz w:val="18"/>
                <w:szCs w:val="18"/>
                <w:lang w:val="zh-CN"/>
              </w:rPr>
              <w:t>级：疗效获益的临床病例报道支持</w:t>
            </w:r>
            <w:r>
              <w:rPr>
                <w:rFonts w:hint="eastAsia" w:hAnsi="等线"/>
                <w:sz w:val="18"/>
                <w:szCs w:val="18"/>
                <w:lang w:val="zh-CN"/>
              </w:rPr>
              <w:br w:type="textWrapping"/>
            </w:r>
            <w:r>
              <w:rPr>
                <w:rFonts w:hAnsi="等线"/>
                <w:sz w:val="18"/>
                <w:szCs w:val="18"/>
                <w:lang w:val="zh-CN"/>
              </w:rPr>
              <w:t>D2</w:t>
            </w:r>
            <w:r>
              <w:rPr>
                <w:rFonts w:hint="eastAsia" w:hAnsi="等线"/>
                <w:sz w:val="18"/>
                <w:szCs w:val="18"/>
                <w:lang w:val="zh-CN"/>
              </w:rPr>
              <w:t>级：临床前证据支持</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-Ⅲ类变异（临床意义不明）：</w:t>
            </w:r>
          </w:p>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105" w:leftChars="50"/>
              <w:textAlignment w:val="auto"/>
              <w:rPr>
                <w:rFonts w:hAnsi="等线"/>
                <w:sz w:val="18"/>
                <w:szCs w:val="18"/>
              </w:rPr>
            </w:pPr>
            <w:r>
              <w:rPr>
                <w:rFonts w:hint="eastAsia" w:hAnsi="等线"/>
                <w:sz w:val="18"/>
                <w:szCs w:val="18"/>
              </w:rPr>
              <w:t>在全人群或特定亚人群数据库、泛癌种或特定肿瘤数据库中均未观察到较高变异频率；缺乏令人信服的已发表肿瘤</w:t>
            </w:r>
            <w:r>
              <w:rPr>
                <w:rFonts w:hint="eastAsia" w:hAnsi="等线"/>
                <w:sz w:val="18"/>
                <w:szCs w:val="18"/>
              </w:rPr>
              <w:br w:type="textWrapping"/>
            </w:r>
            <w:r>
              <w:rPr>
                <w:rFonts w:hint="eastAsia" w:hAnsi="等线"/>
                <w:sz w:val="18"/>
                <w:szCs w:val="18"/>
                <w:lang w:val="en-US" w:eastAsia="zh-CN"/>
              </w:rPr>
              <w:t>药物敏感性</w:t>
            </w:r>
            <w:r>
              <w:rPr>
                <w:rFonts w:hint="eastAsia" w:hAnsi="等线"/>
                <w:sz w:val="18"/>
                <w:szCs w:val="18"/>
              </w:rPr>
              <w:t>相关证据。</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-Ⅳ类变异（无害或可能无害</w:t>
            </w:r>
            <w:r>
              <w:rPr>
                <w:rFonts w:hint="eastAsia" w:hAnsi="等线"/>
                <w:sz w:val="18"/>
                <w:szCs w:val="18"/>
                <w:lang w:eastAsia="zh-CN"/>
              </w:rPr>
              <w:t>，</w:t>
            </w:r>
            <w:r>
              <w:rPr>
                <w:rFonts w:hint="eastAsia" w:hAnsi="等线"/>
                <w:sz w:val="18"/>
                <w:szCs w:val="18"/>
              </w:rPr>
              <w:t>不在本报告中列出）：</w:t>
            </w:r>
          </w:p>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105" w:leftChars="50"/>
              <w:textAlignment w:val="auto"/>
              <w:rPr>
                <w:rFonts w:hAnsi="等线"/>
                <w:sz w:val="18"/>
                <w:szCs w:val="18"/>
              </w:rPr>
            </w:pPr>
            <w:r>
              <w:rPr>
                <w:rFonts w:hint="eastAsia" w:hAnsi="等线"/>
                <w:sz w:val="18"/>
                <w:szCs w:val="18"/>
              </w:rPr>
              <w:t>在全人群或特定亚人群数据库中观察到高变异频率；无已发表的肿瘤药物敏感性相关证据。</w:t>
            </w:r>
          </w:p>
        </w:tc>
      </w:tr>
    </w:tbl>
    <w:p>
      <w:pPr>
        <w:pStyle w:val="38"/>
        <w:keepNext w:val="0"/>
        <w:keepLines w:val="0"/>
        <w:pageBreakBefore w:val="0"/>
        <w:widowControl w:val="0"/>
        <w:numPr>
          <w:ilvl w:val="0"/>
          <w:numId w:val="2"/>
        </w:numPr>
        <w:kinsoku/>
        <w:wordWrap/>
        <w:overflowPunct/>
        <w:topLinePunct w:val="0"/>
        <w:autoSpaceDE/>
        <w:autoSpaceDN/>
        <w:bidi w:val="0"/>
        <w:adjustRightInd/>
        <w:snapToGrid w:val="0"/>
        <w:spacing w:before="79" w:beforeLines="25" w:line="300" w:lineRule="auto"/>
        <w:ind w:left="420" w:hanging="420" w:firstLineChars="0"/>
        <w:jc w:val="left"/>
        <w:textAlignment w:val="auto"/>
        <w:rPr>
          <w:rFonts w:hAnsi="等线"/>
          <w:sz w:val="18"/>
          <w:szCs w:val="18"/>
        </w:rPr>
      </w:pPr>
      <w:r>
        <w:rPr>
          <w:rFonts w:hint="eastAsia" w:hAnsi="等线"/>
          <w:sz w:val="18"/>
          <w:szCs w:val="18"/>
        </w:rPr>
        <w:t>FDA：美国食品药品监督管理局；NMPA：中国药品监督管理局；NCCN：美国国立综合癌症网络。</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突变丰度指某个基因位点的突变型所占的相对比例，即等于突变型</w:t>
      </w:r>
      <w:r>
        <w:rPr>
          <w:rFonts w:hAnsi="等线"/>
          <w:sz w:val="18"/>
          <w:szCs w:val="18"/>
        </w:rPr>
        <w:t>/（突变型+野生型），突变丰度受肿瘤细胞含量和取材部位等因素的影响，突变丰度与药物敏感性或耐药性不一定成正相关。</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表格中的“+”号表示联合用药。</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对于突变类型为“基因扩增”的样本，其拷贝数结果为经过验证的生物信息分析运算出的理论值，建议结合其他检测方法结果，例如免疫组化（IHC）或者荧光原位杂交（FISH），综合考虑临床用药指导。</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“/”表示本次检测未发现相关变异/药物。</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Cs w:val="21"/>
        </w:rPr>
      </w:pPr>
      <w:r>
        <w:rPr>
          <w:rFonts w:hint="eastAsia" w:hAnsi="等线"/>
          <w:sz w:val="18"/>
          <w:szCs w:val="18"/>
        </w:rPr>
        <w:t>本报告所列基因变异及药物未按照该患者潜在的预测疗效排序，具体治疗方案由临床医生根据临床实际情况决定，本检测报告结果仅供参考。</w:t>
      </w:r>
      <w:bookmarkStart w:id="20" w:name="_Toc45207812"/>
    </w:p>
    <w:p/>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eastAsia" w:hAnsi="等线" w:cs="Arial"/>
          <w:b/>
          <w:bCs/>
          <w:color w:val="00B0F0"/>
          <w:sz w:val="28"/>
          <w:szCs w:val="28"/>
          <w:lang w:val="en-US" w:eastAsia="zh-CN"/>
        </w:rPr>
      </w:pPr>
      <w:r>
        <w:rPr>
          <w:rFonts w:hint="eastAsia" w:hAnsi="等线" w:cs="Arial"/>
          <w:b/>
          <w:bCs/>
          <w:color w:val="00B0F0"/>
          <w:sz w:val="28"/>
          <w:szCs w:val="28"/>
          <w:lang w:val="en-US" w:eastAsia="zh-CN"/>
        </w:rPr>
        <w:drawing>
          <wp:anchor distT="0" distB="0" distL="114300" distR="114300" simplePos="0" relativeHeight="251699200" behindDoc="0" locked="0" layoutInCell="1" allowOverlap="1">
            <wp:simplePos x="0" y="0"/>
            <wp:positionH relativeFrom="column">
              <wp:posOffset>90170</wp:posOffset>
            </wp:positionH>
            <wp:positionV relativeFrom="paragraph">
              <wp:posOffset>60960</wp:posOffset>
            </wp:positionV>
            <wp:extent cx="272415" cy="277495"/>
            <wp:effectExtent l="0" t="0" r="1905" b="12065"/>
            <wp:wrapNone/>
            <wp:docPr id="1012" name="图片 76"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21" w:name="免疫治疗相关Biomarker小结"/>
      <w:bookmarkEnd w:id="21"/>
      <w:r>
        <w:rPr>
          <w:rFonts w:hint="eastAsia" w:hAnsi="等线" w:cs="Arial"/>
          <w:b/>
          <w:bCs/>
          <w:color w:val="00B0F0"/>
          <w:sz w:val="28"/>
          <w:szCs w:val="28"/>
          <w:lang w:val="en-US" w:eastAsia="zh-CN"/>
        </w:rPr>
        <w:t>免疫治疗相关Biomarker检测结果</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2461"/>
        <w:gridCol w:w="4108"/>
        <w:gridCol w:w="3286"/>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rPr>
        <w:tc>
          <w:tcPr>
            <w:tcW w:w="9855" w:type="dxa"/>
            <w:gridSpan w:val="3"/>
            <w:tcBorders>
              <w:top w:val="nil"/>
              <w:left w:val="nil"/>
              <w:bottom w:val="single" w:color="FFFFFF" w:sz="24" w:space="0"/>
              <w:right w:val="nil"/>
            </w:tcBorders>
            <w:shd w:val="clear" w:color="auto" w:fill="00B050"/>
            <w:vAlign w:val="center"/>
          </w:tcPr>
          <w:p>
            <w:pPr>
              <w:snapToGrid w:val="0"/>
              <w:jc w:val="center"/>
              <w:rPr>
                <w:rFonts w:hAnsi="等线"/>
                <w:b/>
                <w:bCs/>
                <w:color w:val="FFFFFF" w:themeColor="background1"/>
                <w:sz w:val="24"/>
                <w:szCs w:val="24"/>
                <w14:textFill>
                  <w14:solidFill>
                    <w14:schemeClr w14:val="bg1"/>
                  </w14:solidFill>
                </w14:textFill>
              </w:rPr>
            </w:pPr>
            <w:bookmarkStart w:id="22" w:name="免疫治疗相关检测结果"/>
            <w:r>
              <w:rPr>
                <w:rFonts w:hint="eastAsia" w:hAnsi="等线"/>
                <w:b/>
                <w:bCs/>
                <w:color w:val="FFFFFF"/>
                <w:sz w:val="24"/>
                <w:szCs w:val="24"/>
              </w:rPr>
              <w:t>免疫治疗相关Biomarker检测结果</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检测项目</w:t>
            </w:r>
          </w:p>
        </w:tc>
        <w:tc>
          <w:tcPr>
            <w:tcW w:w="4108"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检测结果</w:t>
            </w:r>
          </w:p>
        </w:tc>
        <w:tc>
          <w:tcPr>
            <w:tcW w:w="3286"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免疫治疗提示</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微卫星不稳定性</w:t>
            </w:r>
          </w:p>
          <w:p>
            <w:pPr>
              <w:snapToGrid w:val="0"/>
              <w:spacing w:before="62" w:beforeLines="20" w:after="62" w:afterLines="20"/>
              <w:jc w:val="center"/>
              <w:rPr>
                <w:rFonts w:hAnsi="等线"/>
                <w:szCs w:val="21"/>
              </w:rPr>
            </w:pPr>
            <w:r>
              <w:rPr>
                <w:rFonts w:hint="eastAsia" w:hAnsi="等线"/>
                <w:szCs w:val="21"/>
              </w:rPr>
              <w:t>（M</w:t>
            </w:r>
            <w:r>
              <w:rPr>
                <w:rFonts w:hAnsi="等线"/>
                <w:szCs w:val="21"/>
              </w:rPr>
              <w:t>SI</w:t>
            </w:r>
            <w:r>
              <w:rPr>
                <w:rFonts w:hint="eastAsia" w:hAnsi="等线"/>
                <w:szCs w:val="21"/>
              </w:rPr>
              <w:t>）检测</w:t>
            </w:r>
          </w:p>
        </w:tc>
        <w:tc>
          <w:tcPr>
            <w:tcW w:w="410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eastAsia="等线"/>
                <w:lang w:eastAsia="zh-CN"/>
              </w:rPr>
            </w:pPr>
            <w:r>
              <w:t xml:space="preserve">MSS</w:t>
            </w:r>
          </w:p>
        </w:tc>
        <w:tc>
          <w:tcPr>
            <w:tcW w:w="328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t xml:space="preserve">对免疫检查点抑制剂可能不敏感</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错配修复系统</w:t>
            </w:r>
          </w:p>
          <w:p>
            <w:pPr>
              <w:snapToGrid w:val="0"/>
              <w:spacing w:before="62" w:beforeLines="20" w:after="62" w:afterLines="20"/>
              <w:jc w:val="center"/>
              <w:rPr>
                <w:rFonts w:hAnsi="等线"/>
                <w:szCs w:val="21"/>
              </w:rPr>
            </w:pPr>
            <w:r>
              <w:rPr>
                <w:rFonts w:hint="eastAsia" w:hAnsi="等线"/>
                <w:szCs w:val="21"/>
              </w:rPr>
              <w:t>（M</w:t>
            </w:r>
            <w:r>
              <w:rPr>
                <w:rFonts w:hAnsi="等线"/>
                <w:szCs w:val="21"/>
              </w:rPr>
              <w:t>MR</w:t>
            </w:r>
            <w:r>
              <w:rPr>
                <w:rFonts w:hint="eastAsia" w:hAnsi="等线"/>
                <w:szCs w:val="21"/>
              </w:rPr>
              <w:t>）检测</w:t>
            </w:r>
          </w:p>
        </w:tc>
        <w:tc>
          <w:tcPr>
            <w:tcW w:w="410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eastAsia="等线"/>
                <w:lang w:eastAsia="zh-CN"/>
              </w:rPr>
            </w:pPr>
            <w:r>
              <w:rPr>
                <w:rFonts w:hint="eastAsia"/>
              </w:rPr>
              <w:t xml:space="preserve">MSH2 p.E809K</w:t>
            </w:r>
          </w:p>
        </w:tc>
        <w:tc>
          <w:tcPr>
            <w:tcW w:w="328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 xml:space="preserve">对免疫检查点抑制剂可能敏感</w:t>
            </w:r>
          </w:p>
        </w:tc>
      </w:tr>
      <w:bookmarkEnd w:id="22"/>
    </w:tbl>
    <w:p>
      <w:pPr>
        <w:rPr>
          <w:rFonts w:hAnsi="等线"/>
          <w:szCs w:val="21"/>
        </w:rPr>
      </w:pPr>
      <w:r>
        <w:rPr>
          <w:rFonts w:hAnsi="等线"/>
          <w:szCs w:val="21"/>
        </w:rPr>
        <w:br w:type="page"/>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Ansi="等线"/>
          <w:szCs w:val="21"/>
        </w:rPr>
      </w:pPr>
      <w:r>
        <w:rPr>
          <w:rFonts w:hint="eastAsia" w:hAnsi="等线" w:cs="Arial"/>
          <w:b/>
          <w:bCs/>
          <w:color w:val="00B0F0"/>
          <w:sz w:val="28"/>
          <w:szCs w:val="28"/>
        </w:rPr>
        <w:drawing>
          <wp:anchor distT="0" distB="0" distL="114300" distR="114300" simplePos="0" relativeHeight="251700224" behindDoc="0" locked="0" layoutInCell="1" allowOverlap="1">
            <wp:simplePos x="0" y="0"/>
            <wp:positionH relativeFrom="column">
              <wp:posOffset>90170</wp:posOffset>
            </wp:positionH>
            <wp:positionV relativeFrom="paragraph">
              <wp:posOffset>55880</wp:posOffset>
            </wp:positionV>
            <wp:extent cx="272415" cy="277495"/>
            <wp:effectExtent l="0" t="0" r="1905" b="12065"/>
            <wp:wrapNone/>
            <wp:docPr id="1013" name="图片 7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23" w:name="化疗用药多态性位点小结"/>
      <w:bookmarkEnd w:id="23"/>
      <w:r>
        <w:rPr>
          <w:rFonts w:hint="eastAsia" w:hAnsi="等线" w:cs="Arial"/>
          <w:b/>
          <w:bCs/>
          <w:color w:val="00B0F0"/>
          <w:sz w:val="28"/>
          <w:szCs w:val="28"/>
          <w:lang w:val="en-US" w:eastAsia="zh-CN"/>
        </w:rPr>
        <w:t>化疗用药多态性位点</w:t>
      </w:r>
      <w:r>
        <w:rPr>
          <w:rFonts w:hint="eastAsia" w:hAnsi="等线" w:cs="Arial"/>
          <w:b/>
          <w:bCs/>
          <w:color w:val="00B0F0"/>
          <w:sz w:val="28"/>
          <w:szCs w:val="28"/>
        </w:rPr>
        <w:t>检测结果</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2461"/>
        <w:gridCol w:w="7394"/>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rPr>
        <w:tc>
          <w:tcPr>
            <w:tcW w:w="9855" w:type="dxa"/>
            <w:gridSpan w:val="2"/>
            <w:tcBorders>
              <w:top w:val="nil"/>
              <w:left w:val="nil"/>
              <w:bottom w:val="single" w:color="FFFFFF" w:sz="24" w:space="0"/>
              <w:right w:val="nil"/>
            </w:tcBorders>
            <w:shd w:val="clear" w:color="auto" w:fill="F18E2D"/>
            <w:vAlign w:val="center"/>
          </w:tcPr>
          <w:p>
            <w:pPr>
              <w:snapToGrid w:val="0"/>
              <w:jc w:val="center"/>
              <w:rPr>
                <w:rFonts w:hAnsi="等线"/>
                <w:b/>
                <w:bCs/>
                <w:sz w:val="24"/>
                <w:szCs w:val="24"/>
              </w:rPr>
            </w:pPr>
            <w:bookmarkStart w:id="24" w:name="化疗检测结果"/>
            <w:r>
              <w:rPr>
                <w:rFonts w:hint="eastAsia" w:hAnsi="等线"/>
                <w:b/>
                <w:bCs/>
                <w:color w:val="FFFFFF"/>
                <w:sz w:val="24"/>
                <w:szCs w:val="24"/>
              </w:rPr>
              <w:t>化疗用药多态性位点检测结果</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PrEx>
        <w:trPr>
          <w:cantSplit/>
          <w:trHeight w:val="907"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color w:val="00B050"/>
                <w:szCs w:val="21"/>
              </w:rPr>
            </w:pPr>
            <w:r>
              <w:rPr>
                <w:rFonts w:hint="eastAsia" w:hAnsi="等线"/>
                <w:color w:val="00B050"/>
                <w:szCs w:val="21"/>
              </w:rPr>
              <w:t xml:space="preserve">推荐药物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环磷酰胺,顺铂,卡培他滨,替加氟,替吉奥,吉西他滨,伊立替康,依托泊苷,紫杉醇,丝裂霉素,表柔比星,昂丹司琼,格拉司琼</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 xml:space="preserve">可选药物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卡铂,奥沙利铂,甲氨蝶呤,多西他赛,多柔比星</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color w:val="FF0000"/>
                <w:szCs w:val="21"/>
              </w:rPr>
            </w:pPr>
            <w:r>
              <w:rPr>
                <w:rFonts w:hint="eastAsia" w:hAnsi="等线"/>
                <w:color w:val="FF0000"/>
                <w:szCs w:val="21"/>
              </w:rPr>
              <w:t xml:space="preserve">慎用药物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int="eastAsia" w:hAnsi="等线"/>
                <w:szCs w:val="21"/>
                <w:lang w:val="en-US" w:eastAsia="zh-CN"/>
              </w:rPr>
            </w:pPr>
            <w:r>
              <w:rPr>
                <w:rFonts w:hint="eastAsia" w:hAnsi="等线"/>
                <w:szCs w:val="21"/>
                <w:lang w:val="en-US" w:eastAsia="zh-CN"/>
              </w:rPr>
              <w:t xml:space="preserve">氟尿嘧啶,培美曲塞,长春新碱,长春瑞滨</w:t>
            </w:r>
          </w:p>
        </w:tc>
      </w:tr>
      <w:bookmarkEnd w:id="24"/>
    </w:tbl>
    <w:p>
      <w:bookmarkStart w:id="25" w:name="_Toc89103144"/>
      <w:bookmarkStart w:id="26" w:name="_Toc45207811"/>
    </w:p>
    <w:p/>
    <w:p>
      <w:pPr>
        <w:keepNext w:val="0"/>
        <w:keepLines w:val="0"/>
        <w:pageBreakBefore w:val="0"/>
        <w:widowControl w:val="0"/>
        <w:kinsoku/>
        <w:wordWrap/>
        <w:overflowPunct/>
        <w:topLinePunct w:val="0"/>
        <w:autoSpaceDE/>
        <w:autoSpaceDN/>
        <w:bidi w:val="0"/>
        <w:adjustRightInd/>
        <w:snapToGrid/>
        <w:textAlignment w:val="auto"/>
        <w:outlineLvl w:val="1"/>
        <w:rPr>
          <w:rFonts w:hint="eastAsia" w:hAnsi="等线" w:cs="Arial"/>
          <w:b/>
          <w:bCs/>
          <w:color w:val="00B0F0"/>
          <w:sz w:val="28"/>
          <w:szCs w:val="28"/>
        </w:rPr>
      </w:pPr>
      <w:r>
        <w:rPr>
          <w:rFonts w:hint="eastAsia" w:hAnsi="等线" w:cs="Arial"/>
          <w:b/>
          <w:bCs/>
          <w:color w:val="00B0F0"/>
          <w:sz w:val="28"/>
          <w:szCs w:val="28"/>
        </w:rPr>
        <w:drawing>
          <wp:anchor distT="0" distB="0" distL="114300" distR="114300" simplePos="0" relativeHeight="251697152" behindDoc="0" locked="0" layoutInCell="1" allowOverlap="1">
            <wp:simplePos x="0" y="0"/>
            <wp:positionH relativeFrom="column">
              <wp:posOffset>92710</wp:posOffset>
            </wp:positionH>
            <wp:positionV relativeFrom="paragraph">
              <wp:posOffset>63500</wp:posOffset>
            </wp:positionV>
            <wp:extent cx="272415" cy="277495"/>
            <wp:effectExtent l="0" t="0" r="1905" b="12065"/>
            <wp:wrapNone/>
            <wp:docPr id="1014" name="图片 43"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27" w:name="常用联合化疗方案药物提示"/>
      <w:bookmarkEnd w:id="27"/>
      <w:r>
        <w:rPr>
          <w:rFonts w:hint="eastAsia" w:hAnsi="等线" w:cs="Arial"/>
          <w:b/>
          <w:bCs/>
          <w:color w:val="00B0F0"/>
          <w:sz w:val="28"/>
          <w:szCs w:val="28"/>
        </w:rPr>
        <w:t>常用联合化疗方案药物提示</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1731"/>
        <w:gridCol w:w="4104"/>
        <w:gridCol w:w="2409"/>
        <w:gridCol w:w="1611"/>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blHeader/>
        </w:trPr>
        <w:tc>
          <w:tcPr>
            <w:tcW w:w="1731" w:type="dxa"/>
            <w:tcBorders>
              <w:top w:val="nil"/>
              <w:left w:val="nil"/>
              <w:bottom w:val="single" w:color="FFFFFF" w:sz="24" w:space="0"/>
              <w:right w:val="single" w:color="FFFFFF" w:sz="24" w:space="0"/>
            </w:tcBorders>
            <w:shd w:val="clear" w:color="auto" w:fill="F18E2D"/>
            <w:vAlign w:val="center"/>
          </w:tcPr>
          <w:p>
            <w:pPr>
              <w:snapToGrid w:val="0"/>
              <w:jc w:val="center"/>
              <w:rPr>
                <w:rFonts w:hint="eastAsia" w:hAnsi="等线" w:eastAsia="等线"/>
                <w:b/>
                <w:bCs/>
                <w:sz w:val="24"/>
                <w:szCs w:val="24"/>
                <w:lang w:val="en-US" w:eastAsia="zh-CN"/>
              </w:rPr>
            </w:pPr>
            <w:r>
              <w:rPr>
                <w:rFonts w:hint="eastAsia" w:hAnsi="等线"/>
                <w:b/>
                <w:bCs/>
                <w:color w:val="FFFFFF" w:themeColor="background1"/>
                <w:sz w:val="24"/>
                <w:szCs w:val="24"/>
                <w:lang w:val="en-US" w:eastAsia="zh-CN"/>
                <w14:textFill>
                  <w14:solidFill>
                    <w14:schemeClr w14:val="bg1"/>
                  </w14:solidFill>
                </w14:textFill>
              </w:rPr>
              <w:t>癌种</w:t>
            </w:r>
          </w:p>
        </w:tc>
        <w:tc>
          <w:tcPr>
            <w:tcW w:w="4104" w:type="dxa"/>
            <w:tcBorders>
              <w:top w:val="nil"/>
              <w:left w:val="single" w:color="FFFFFF" w:sz="24" w:space="0"/>
              <w:bottom w:val="single" w:color="FFFFFF" w:sz="24" w:space="0"/>
              <w:right w:val="single" w:color="FFFFFF" w:sz="24" w:space="0"/>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用药方案</w:t>
            </w:r>
          </w:p>
        </w:tc>
        <w:tc>
          <w:tcPr>
            <w:tcW w:w="2409" w:type="dxa"/>
            <w:tcBorders>
              <w:top w:val="nil"/>
              <w:left w:val="single" w:color="FFFFFF" w:sz="24" w:space="0"/>
              <w:bottom w:val="single" w:color="FFFFFF" w:sz="24" w:space="0"/>
              <w:right w:val="single" w:color="FFFFFF" w:sz="24" w:space="0"/>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方案缩写</w:t>
            </w:r>
          </w:p>
        </w:tc>
        <w:tc>
          <w:tcPr>
            <w:tcW w:w="1611" w:type="dxa"/>
            <w:tcBorders>
              <w:top w:val="nil"/>
              <w:left w:val="single" w:color="FFFFFF" w:sz="24" w:space="0"/>
              <w:bottom w:val="single" w:color="FFFFFF" w:sz="24" w:space="0"/>
              <w:right w:val="nil"/>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 xml:space="preserve">临床提示</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restart"/>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结直肠癌</w:t>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奥沙利铂+亚叶酸钙+氟尿嘧啶</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FOLFOX</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慎用</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伊立替康+亚叶酸钙+氟尿嘧啶</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FOLFIRI</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慎用</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奥沙利铂+卡培他滨</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CAPEOX（又称Xelox）</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推荐</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伊立替康+奥沙利铂+亚叶酸钙+氟尿嘧啶</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FOLFOXIRI</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慎用</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伊立替康+卡培他滨</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CapIRI或XELIRI</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推荐</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奥沙利铂+雷替曲塞</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可选</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hint="eastAsia"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伊立替康+雷替曲塞</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b w:val="0"/>
                <w:bCs w:val="0"/>
                <w:kern w:val="2"/>
                <w:sz w:val="18"/>
                <w:szCs w:val="18"/>
                <w:lang w:val="en-US" w:eastAsia="zh-CN" w:bidi="ar"/>
              </w:rPr>
              <w:t xml:space="preserve">/</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b w:val="0"/>
                <w:bCs w:val="0"/>
                <w:kern w:val="2"/>
                <w:sz w:val="18"/>
                <w:szCs w:val="18"/>
                <w:lang w:val="en-US" w:eastAsia="zh-CN" w:bidi="ar"/>
              </w:rPr>
              <w:t xml:space="preserve">推荐</w:t>
            </w:r>
          </w:p>
        </w:tc>
      </w:tr>
    </w:tbl>
    <w:p>
      <w:pPr>
        <w:rPr>
          <w:rFonts w:hint="eastAsia"/>
        </w:rPr>
      </w:pPr>
      <w:r>
        <w:rPr>
          <w:rFonts w:hint="eastAsia" w:hAnsi="等线"/>
          <w:b/>
          <w:bCs/>
          <w:szCs w:val="21"/>
        </w:rPr>
        <w:t>说明：</w:t>
      </w:r>
      <w:r>
        <w:rPr>
          <w:rFonts w:hint="eastAsia" w:hAnsi="等线"/>
          <w:sz w:val="18"/>
          <w:szCs w:val="18"/>
        </w:rPr>
        <w:t>上述</w:t>
      </w:r>
      <w:r>
        <w:rPr>
          <w:rFonts w:hint="eastAsia" w:hAnsi="等线"/>
          <w:sz w:val="18"/>
          <w:szCs w:val="18"/>
          <w:lang w:val="en-US" w:eastAsia="zh-CN"/>
        </w:rPr>
        <w:t>化疗方案</w:t>
      </w:r>
      <w:r>
        <w:rPr>
          <w:rFonts w:hint="eastAsia" w:hAnsi="等线"/>
          <w:sz w:val="18"/>
          <w:szCs w:val="18"/>
        </w:rPr>
        <w:t>来源于中国临床肿瘤学会（CSCO）</w:t>
      </w:r>
      <w:r>
        <w:rPr>
          <w:rFonts w:hint="eastAsia" w:hAnsi="等线"/>
          <w:sz w:val="18"/>
          <w:szCs w:val="18"/>
          <w:lang w:val="en-US" w:eastAsia="zh-CN"/>
        </w:rPr>
        <w:t>结直肠</w:t>
      </w:r>
      <w:r>
        <w:rPr>
          <w:rFonts w:hint="eastAsia" w:hAnsi="等线"/>
          <w:sz w:val="18"/>
          <w:szCs w:val="18"/>
        </w:rPr>
        <w:t>癌诊疗指南202</w:t>
      </w:r>
      <w:r>
        <w:rPr>
          <w:rFonts w:hint="eastAsia" w:hAnsi="等线"/>
          <w:sz w:val="18"/>
          <w:szCs w:val="18"/>
          <w:lang w:val="en-US" w:eastAsia="zh-CN"/>
        </w:rPr>
        <w:t>3</w:t>
      </w:r>
      <w:r>
        <w:rPr>
          <w:rFonts w:hint="eastAsia" w:hAnsi="等线"/>
          <w:sz w:val="18"/>
          <w:szCs w:val="18"/>
        </w:rPr>
        <w:t>。</w:t>
      </w:r>
      <w:r>
        <w:rPr>
          <w:rFonts w:hint="eastAsia" w:hAnsi="等线"/>
          <w:sz w:val="18"/>
          <w:szCs w:val="18"/>
        </w:rPr>
        <w:br w:type="textWrapping"/>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hAnsi="等线"/>
          <w:sz w:val="18"/>
          <w:szCs w:val="18"/>
          <w:lang w:val="en-US"/>
        </w:rPr>
      </w:pPr>
      <w:bookmarkStart w:id="28" w:name="遗传性结直肠癌小结"/>
      <w:bookmarkEnd w:id="28"/>
      <w:r>
        <w:rPr>
          <w:rFonts w:hint="eastAsia" w:hAnsi="等线" w:cs="Arial"/>
          <w:b/>
          <w:bCs/>
          <w:color w:val="00B0F0"/>
          <w:sz w:val="28"/>
          <w:szCs w:val="28"/>
        </w:rPr>
        <w:drawing>
          <wp:anchor distT="0" distB="0" distL="114300" distR="114300" simplePos="0" relativeHeight="251711488" behindDoc="0" locked="0" layoutInCell="1" allowOverlap="1">
            <wp:simplePos x="0" y="0"/>
            <wp:positionH relativeFrom="column">
              <wp:posOffset>90170</wp:posOffset>
            </wp:positionH>
            <wp:positionV relativeFrom="paragraph">
              <wp:posOffset>55880</wp:posOffset>
            </wp:positionV>
            <wp:extent cx="272415" cy="277495"/>
            <wp:effectExtent l="0" t="0" r="1905" b="12065"/>
            <wp:wrapNone/>
            <wp:docPr id="1015" name="图片 10"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遗传性结直肠癌基因检测结果</w:t>
      </w: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2461"/>
        <w:gridCol w:w="7394"/>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67" w:hRule="atLeast"/>
        </w:trPr>
        <w:tc>
          <w:tcPr>
            <w:tcW w:w="9629" w:type="dxa"/>
            <w:gridSpan w:val="2"/>
            <w:tcBorders>
              <w:top w:val="single" w:color="3FC0C1" w:sz="4" w:space="0"/>
              <w:left w:val="single" w:color="3FC0C1" w:sz="4" w:space="0"/>
              <w:bottom w:val="single" w:color="FFFFFF" w:sz="24" w:space="0"/>
              <w:right w:val="single" w:color="3FC0C1" w:sz="4" w:space="0"/>
              <w:insideV w:val="nil"/>
            </w:tcBorders>
            <w:shd w:val="clear" w:color="auto" w:fill="3FC0C1"/>
            <w:vAlign w:val="center"/>
          </w:tcPr>
          <w:p>
            <w:pPr>
              <w:snapToGrid w:val="0"/>
              <w:jc w:val="center"/>
              <w:rPr>
                <w:rFonts w:hAnsi="等线"/>
                <w:b/>
                <w:bCs w:val="0"/>
                <w:color w:val="000000"/>
                <w:szCs w:val="21"/>
              </w:rPr>
            </w:pPr>
            <w:bookmarkStart w:id="29" w:name="小结5"/>
            <w:r>
              <w:rPr>
                <w:rFonts w:hint="eastAsia" w:hAnsi="等线"/>
                <w:b/>
                <w:bCs/>
                <w:color w:val="FFFFFF"/>
                <w:sz w:val="24"/>
                <w:szCs w:val="24"/>
              </w:rPr>
              <w:t>遗传性</w:t>
            </w:r>
            <w:r>
              <w:rPr>
                <w:rFonts w:hint="eastAsia" w:hAnsi="等线"/>
                <w:b/>
                <w:bCs/>
                <w:color w:val="FFFFFF"/>
                <w:sz w:val="24"/>
                <w:szCs w:val="24"/>
                <w:lang w:val="en-US" w:eastAsia="zh-CN"/>
              </w:rPr>
              <w:t>结直肠癌</w:t>
            </w:r>
            <w:r>
              <w:rPr>
                <w:rFonts w:hint="eastAsia" w:hAnsi="等线"/>
                <w:b/>
                <w:bCs/>
                <w:color w:val="FFFFFF"/>
                <w:sz w:val="24"/>
                <w:szCs w:val="24"/>
              </w:rPr>
              <w:t>基因检测结果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rPr>
              <w:t>结果统计</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 w:val="24"/>
                <w:szCs w:val="24"/>
                <w:lang w:eastAsia="zh-CN"/>
              </w:rPr>
            </w:pPr>
            <w:r>
              <w:rPr>
                <w:rFonts w:hint="eastAsia" w:hAnsi="等线"/>
                <w:szCs w:val="21"/>
              </w:rPr>
              <w:t xml:space="preserve">TP53 p.V73Rfs*76</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rPr>
              <w:t>相关遗传性肿瘤综合征</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Cs w:val="21"/>
                <w:lang w:eastAsia="zh-CN"/>
              </w:rPr>
            </w:pPr>
            <w:r>
              <w:rPr>
                <w:rFonts w:hint="eastAsia" w:hAnsi="等线"/>
                <w:szCs w:val="21"/>
              </w:rPr>
              <w:t xml:space="preserve">Li-Fraumeni综合征</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lang w:val="en-US" w:eastAsia="zh-CN"/>
              </w:rPr>
              <w:t>相关癌症</w:t>
            </w:r>
            <w:r>
              <w:rPr>
                <w:rFonts w:hint="eastAsia" w:hAnsi="等线"/>
                <w:b w:val="0"/>
                <w:bCs w:val="0"/>
                <w:szCs w:val="21"/>
              </w:rPr>
              <w:t>发生风险</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szCs w:val="21"/>
                <w:lang w:eastAsia="zh-CN"/>
              </w:rPr>
            </w:pPr>
            <w:r>
              <w:rPr>
                <w:rFonts w:hint="eastAsia" w:hAnsi="等线"/>
                <w:szCs w:val="21"/>
              </w:rPr>
              <w:t xml:space="preserve">结直肠癌,胰腺癌,甲状腺癌,胃癌,肾上腺皮质癌,乳腺癌,胶质母细胞瘤,星形细胞瘤,骨肉瘤,软组织肉瘤,急性淋巴细胞白血病,急性髓性白血病,骨髓增生异常综合征,淋巴瘤,头颈鳞癌,肾细胞癌,喉癌,肺癌,皮肤癌,卵巢癌,前列腺癌,睾丸癌,妊娠期绒毛膜癌</w:t>
            </w:r>
          </w:p>
        </w:tc>
      </w:tr>
      <w:bookmarkEnd w:id="29"/>
    </w:tbl>
    <w:p>
      <w:pPr>
        <w:rPr>
          <w:rFonts w:hint="eastAsia" w:hAnsi="等线"/>
          <w:sz w:val="18"/>
          <w:szCs w:val="18"/>
        </w:rPr>
      </w:pPr>
      <w:r>
        <w:rPr>
          <w:rFonts w:hint="eastAsia" w:hAnsi="等线"/>
          <w:sz w:val="18"/>
          <w:szCs w:val="18"/>
        </w:rPr>
        <w:br w:type="page"/>
      </w:r>
    </w:p>
    <w:p>
      <w:pPr>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93056" behindDoc="0" locked="0" layoutInCell="1" allowOverlap="1">
            <wp:simplePos x="0" y="0"/>
            <wp:positionH relativeFrom="column">
              <wp:posOffset>92710</wp:posOffset>
            </wp:positionH>
            <wp:positionV relativeFrom="paragraph">
              <wp:posOffset>63500</wp:posOffset>
            </wp:positionV>
            <wp:extent cx="272415" cy="277495"/>
            <wp:effectExtent l="0" t="0" r="1905" b="12065"/>
            <wp:wrapNone/>
            <wp:docPr id="1016" name="图片 2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30" w:name="本癌种FDA获批"/>
      <w:bookmarkEnd w:id="30"/>
      <w:r>
        <w:rPr>
          <w:rFonts w:hAnsi="等线" w:cs="Arial"/>
          <w:b/>
          <w:bCs/>
          <w:color w:val="00B0F0"/>
          <w:sz w:val="28"/>
          <w:szCs w:val="28"/>
        </w:rPr>
        <w:t>FDA/NMPA获批</w:t>
      </w:r>
      <w:r>
        <w:rPr>
          <w:rFonts w:hint="eastAsia" w:hAnsi="等线" w:cs="Arial"/>
          <w:b/>
          <w:bCs/>
          <w:color w:val="00B0F0"/>
          <w:sz w:val="28"/>
          <w:szCs w:val="28"/>
        </w:rPr>
        <w:t>或</w:t>
      </w:r>
      <w:r>
        <w:rPr>
          <w:rFonts w:hAnsi="等线" w:cs="Arial"/>
          <w:b/>
          <w:bCs/>
          <w:color w:val="00B0F0"/>
          <w:sz w:val="28"/>
          <w:szCs w:val="28"/>
        </w:rPr>
        <w:t>NCCN指南推荐的</w:t>
      </w:r>
      <w:r>
        <w:rPr>
          <w:rFonts w:hint="eastAsia" w:hAnsi="等线" w:cs="Arial"/>
          <w:b/>
          <w:bCs/>
          <w:color w:val="00B0F0"/>
          <w:sz w:val="28"/>
          <w:szCs w:val="28"/>
          <w:lang w:val="en-US" w:eastAsia="zh-CN"/>
        </w:rPr>
        <w:t>结直肠癌靶药</w:t>
      </w:r>
      <w:r>
        <w:rPr>
          <w:rFonts w:hAnsi="等线" w:cs="Arial"/>
          <w:b/>
          <w:bCs/>
          <w:color w:val="00B0F0"/>
          <w:sz w:val="28"/>
          <w:szCs w:val="28"/>
        </w:rPr>
        <w:t>基因检出情况</w:t>
      </w:r>
      <w:bookmarkEnd w:id="25"/>
      <w:bookmarkEnd w:id="26"/>
    </w:p>
    <w:tbl>
      <w:tblPr>
        <w:tblStyle w:val="58"/>
        <w:tblW w:w="5000" w:type="pct"/>
        <w:tblInd w:w="-23"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3287"/>
        <w:gridCol w:w="3259"/>
        <w:gridCol w:w="3309"/>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67" w:hRule="atLeast"/>
        </w:trPr>
        <w:tc>
          <w:tcPr>
            <w:tcW w:w="9855" w:type="dxa"/>
            <w:gridSpan w:val="3"/>
            <w:tcBorders>
              <w:top w:val="nil"/>
              <w:left w:val="nil"/>
              <w:bottom w:val="single" w:color="FFFFFF" w:sz="24" w:space="0"/>
              <w:right w:val="nil"/>
              <w:insideV w:val="nil"/>
            </w:tcBorders>
            <w:shd w:val="clear" w:color="auto" w:fill="00B0F0"/>
            <w:vAlign w:val="center"/>
          </w:tcPr>
          <w:p>
            <w:pPr>
              <w:snapToGrid w:val="0"/>
              <w:jc w:val="center"/>
              <w:rPr>
                <w:rFonts w:hAnsi="等线"/>
                <w:b/>
                <w:bCs w:val="0"/>
                <w:color w:val="FFFFFF"/>
                <w:szCs w:val="21"/>
              </w:rPr>
            </w:pPr>
            <w:r>
              <w:rPr>
                <w:rFonts w:hAnsi="等线" w:cs="Arial"/>
                <w:b/>
                <w:bCs/>
                <w:color w:val="FFFFFF"/>
                <w:sz w:val="28"/>
                <w:szCs w:val="28"/>
              </w:rPr>
              <w:t>FDA/NMPA获批</w:t>
            </w:r>
            <w:r>
              <w:rPr>
                <w:rFonts w:hint="eastAsia" w:hAnsi="等线" w:cs="Arial"/>
                <w:b/>
                <w:bCs/>
                <w:color w:val="FFFFFF"/>
                <w:sz w:val="28"/>
                <w:szCs w:val="28"/>
              </w:rPr>
              <w:t>或</w:t>
            </w:r>
            <w:r>
              <w:rPr>
                <w:rFonts w:hAnsi="等线" w:cs="Arial"/>
                <w:b/>
                <w:bCs/>
                <w:color w:val="FFFFFF"/>
                <w:sz w:val="28"/>
                <w:szCs w:val="28"/>
              </w:rPr>
              <w:t>NCCN指南推荐的</w:t>
            </w:r>
            <w:r>
              <w:rPr>
                <w:rFonts w:hint="eastAsia" w:hAnsi="等线" w:cs="Arial"/>
                <w:b/>
                <w:bCs/>
                <w:color w:val="FFFFFF"/>
                <w:sz w:val="28"/>
                <w:szCs w:val="28"/>
                <w:lang w:val="en-US" w:eastAsia="zh-CN"/>
              </w:rPr>
              <w:t>结直肠</w:t>
            </w:r>
            <w:r>
              <w:rPr>
                <w:rFonts w:hint="eastAsia" w:hAnsi="等线" w:cs="Arial"/>
                <w:b/>
                <w:bCs/>
                <w:color w:val="FFFFFF"/>
                <w:sz w:val="28"/>
                <w:szCs w:val="28"/>
              </w:rPr>
              <w:t>癌</w:t>
            </w:r>
            <w:r>
              <w:rPr>
                <w:rFonts w:hAnsi="等线" w:cs="Arial"/>
                <w:b/>
                <w:bCs/>
                <w:color w:val="FFFFFF"/>
                <w:sz w:val="28"/>
                <w:szCs w:val="28"/>
              </w:rPr>
              <w:t>靶药基因检出情况</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基因</w:t>
            </w:r>
          </w:p>
        </w:tc>
        <w:tc>
          <w:tcPr>
            <w:tcW w:w="3259"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检测内容</w:t>
            </w:r>
          </w:p>
        </w:tc>
        <w:tc>
          <w:tcPr>
            <w:tcW w:w="3309"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BRAF</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ERBB2</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扩增</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KRAS</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NRAS</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NTRK1</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NTRK2</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NTRK3</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突变/融合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val="0"/>
                <w:bCs w:val="0"/>
                <w:color w:val="000000"/>
                <w:kern w:val="0"/>
                <w:szCs w:val="21"/>
                <w:lang w:eastAsia="zh-CN" w:bidi="ar"/>
              </w:rPr>
            </w:pPr>
            <w:r>
              <w:rPr>
                <w:rFonts w:hint="eastAsia"/>
                <w:b/>
                <w:bCs/>
                <w:szCs w:val="21"/>
                <w:lang w:bidi="ar"/>
              </w:rPr>
              <w:t xml:space="preserve">RET</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华文细黑" w:hAnsi="华文细黑" w:eastAsia="等线" w:cs="华文细黑"/>
                <w:b/>
                <w:color w:val="000000"/>
                <w:kern w:val="0"/>
                <w:szCs w:val="21"/>
                <w:lang w:eastAsia="zh-CN" w:bidi="ar"/>
              </w:rPr>
            </w:pPr>
            <w:r>
              <w:rPr>
                <w:rFonts w:hint="eastAsia"/>
                <w:szCs w:val="21"/>
                <w:lang w:bidi="ar"/>
              </w:rPr>
              <w:t xml:space="preserve">未检出变异</w:t>
            </w:r>
          </w:p>
        </w:tc>
      </w:tr>
    </w:tbl>
    <w:p>
      <w:pPr>
        <w:snapToGrid w:val="0"/>
        <w:jc w:val="left"/>
        <w:rPr>
          <w:rFonts w:hAnsi="等线"/>
          <w:szCs w:val="21"/>
        </w:rPr>
      </w:pPr>
      <w:r>
        <w:rPr>
          <w:rFonts w:hAnsi="等线"/>
          <w:szCs w:val="21"/>
        </w:rPr>
        <w:br w:type="page"/>
      </w:r>
    </w:p>
    <w:bookmarkEnd w:id="20"/>
    <w:p>
      <w:pPr>
        <w:pStyle w:val="2"/>
        <w:jc w:val="center"/>
        <w:rPr>
          <w:rFonts w:hAnsi="等线"/>
          <w:szCs w:val="21"/>
        </w:rPr>
      </w:pPr>
      <w:bookmarkStart w:id="31" w:name="Part3：详细解读"/>
      <w:bookmarkEnd w:id="31"/>
      <w:bookmarkStart w:id="32" w:name="_Toc81378418"/>
      <w:bookmarkStart w:id="33" w:name="_Toc89103146"/>
      <w:bookmarkStart w:id="34" w:name="_Ref80371448"/>
      <w:r>
        <w:rPr>
          <w:rFonts w:hAnsi="等线"/>
          <w:color w:val="00B0F0"/>
        </w:rPr>
        <w:t>Part 3: 检测结果详细解读</w:t>
      </w:r>
      <w:bookmarkEnd w:id="32"/>
      <w:bookmarkEnd w:id="33"/>
      <w:bookmarkEnd w:id="34"/>
      <w:r>
        <w:rPr>
          <w:sz w:val="36"/>
          <w:szCs w:val="36"/>
        </w:rPr>
        <mc:AlternateContent>
          <mc:Choice Requires="wps">
            <w:drawing>
              <wp:anchor distT="0" distB="0" distL="114300" distR="114300" simplePos="0" relativeHeight="251667456" behindDoc="0" locked="0" layoutInCell="1" allowOverlap="1">
                <wp:simplePos x="0" y="0"/>
                <wp:positionH relativeFrom="column">
                  <wp:posOffset>1224280</wp:posOffset>
                </wp:positionH>
                <wp:positionV relativeFrom="paragraph">
                  <wp:posOffset>-32385</wp:posOffset>
                </wp:positionV>
                <wp:extent cx="3726180" cy="561975"/>
                <wp:effectExtent l="0" t="0" r="26670" b="28575"/>
                <wp:wrapNone/>
                <wp:docPr id="1017"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6.4pt;margin-top:-2.55pt;height:44.25pt;width:293.4pt;z-index:251667456;v-text-anchor:middle;mso-width-relative:page;mso-height-relative:page;" filled="f" stroked="t" coordsize="21600,21600" arcsize="0.166666666666667" o:gfxdata="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JkmsxnbAAAACQEAAA8A&#10;AAAAAAAAAQAgAAAAIgAAAGRycy9kb3ducmV2LnhtbFBLAQIUABQAAAAIAIdO4kCEfCZOhgIAAOIE&#10;AAAOAAAAAAAAAAEAIAAAACo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p>
    <w:bookmarkEnd w:id="3"/>
    <w:p>
      <w:pPr>
        <w:rPr>
          <w:rFonts w:hAnsi="等线" w:cs="Arial"/>
          <w:b/>
          <w:bCs/>
          <w:color w:val="00B0F0"/>
          <w:szCs w:val="28"/>
        </w:rPr>
      </w:pPr>
      <w:bookmarkStart w:id="35" w:name="肺癌用药相关核心基因"/>
      <w:bookmarkEnd w:id="35"/>
      <w:bookmarkStart w:id="36" w:name="_Toc89103147"/>
      <w:bookmarkStart w:id="37" w:name="_Ref80948822"/>
      <w:bookmarkStart w:id="38" w:name="_Toc81378419"/>
      <w:r>
        <mc:AlternateContent>
          <mc:Choice Requires="wpg">
            <w:drawing>
              <wp:anchor distT="0" distB="0" distL="114300" distR="114300" simplePos="0" relativeHeight="251681792" behindDoc="0" locked="0" layoutInCell="1" allowOverlap="1">
                <wp:simplePos x="0" y="0"/>
                <wp:positionH relativeFrom="column">
                  <wp:posOffset>-32385</wp:posOffset>
                </wp:positionH>
                <wp:positionV relativeFrom="paragraph">
                  <wp:posOffset>341630</wp:posOffset>
                </wp:positionV>
                <wp:extent cx="6294120" cy="388620"/>
                <wp:effectExtent l="0" t="10795" r="5080" b="19685"/>
                <wp:wrapNone/>
                <wp:docPr id="1018" name="组合 97"/>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64" name="圆角矩形 57"/>
                        <wps:cNvSpPr/>
                        <wps:spPr>
                          <a:xfrm>
                            <a:off x="4368" y="292680"/>
                            <a:ext cx="6348" cy="612"/>
                          </a:xfrm>
                          <a:prstGeom prst="roundRect">
                            <a:avLst/>
                          </a:prstGeom>
                          <a:noFill/>
                          <a:ln w="22225" cap="flat" cmpd="sng" algn="ctr">
                            <a:solidFill>
                              <a:srgbClr val="4472C4"/>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5" name="直接连接符 60"/>
                        <wps:cNvCnPr/>
                        <wps:spPr>
                          <a:xfrm flipH="1">
                            <a:off x="2592" y="292986"/>
                            <a:ext cx="1776" cy="0"/>
                          </a:xfrm>
                          <a:prstGeom prst="line">
                            <a:avLst/>
                          </a:prstGeom>
                          <a:noFill/>
                          <a:ln w="285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66" name="直接连接符 61"/>
                        <wps:cNvCnPr/>
                        <wps:spPr>
                          <a:xfrm flipH="1">
                            <a:off x="10728" y="292962"/>
                            <a:ext cx="1776" cy="0"/>
                          </a:xfrm>
                          <a:prstGeom prst="line">
                            <a:avLst/>
                          </a:prstGeom>
                          <a:noFill/>
                          <a:ln w="285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2.55pt;margin-top:26.9pt;height:30.6pt;width:495.6pt;z-index:251681792;mso-width-relative:page;mso-height-relative:page;" coordorigin="2592,292680" coordsize="9912,612" o:gfxdata="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L6ISW74AAADb&#10;AAAADwAAAGRycy9kb3ducmV2LnhtbEWPQWvCQBSE70L/w/IKvZlNREKJrkJbSmvxUvWS2yP7TKLZ&#10;t2F3m8R/3xUKPQ4z8w2z3k6mEwM531pWkCUpCOLK6pZrBafj+/wZhA/IGjvLpOBGHrabh9kaC21H&#10;/qbhEGoRIewLVNCE0BdS+qohgz6xPXH0ztYZDFG6WmqHY4SbTi7SNJcGW44LDfb02lB1PfwYBcPy&#10;IhdlGTr38XXB4+5ln+VvlVJPj1m6AhFoCv/hv/anVpAv4f4l/gC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6ISW74A&#10;AADbAAAADwAAAAAAAAABACAAAAAiAAAAZHJzL2Rvd25yZXYueG1sUEsBAhQAFAAAAAgAh07iQDMv&#10;BZ47AAAAOQAAABAAAAAAAAAAAQAgAAAADQEAAGRycy9zaGFwZXhtbC54bWxQSwUGAAAAAAYABgBb&#10;AQAAtwMAAAAA&#10;">
                  <v:fill on="f" focussize="0,0"/>
                  <v:stroke weight="1.75pt" color="#4472C4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5vawi78AAADb&#10;AAAADwAAAGRycy9kb3ducmV2LnhtbEWPzWvCQBTE74L/w/KE3pqNxS+iqwehtUWKGPXg7ZF9JsHs&#10;2zS7jR9/vVsoeBxm5jfMbHE1lWipcaVlBf0oBkGcWV1yrmC/e3+dgHAeWWNlmRTcyMFi3u3MMNH2&#10;wltqU5+LAGGXoILC+zqR0mUFGXSRrYmDd7KNQR9kk0vd4CXATSXf4ngkDZYcFgqsaVlQdk5/jYLy&#10;rj/a9Y/ZHNPvlXW382E8+Doo9dLrx1MQnq7+Gf5vf2oFoyH8fQk/QM4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b2sIu/&#10;AAAA2wAAAA8AAAAAAAAAAQAgAAAAIgAAAGRycy9kb3ducmV2LnhtbFBLAQIUABQAAAAIAIdO4kAz&#10;LwWeOwAAADkAAAAQAAAAAAAAAAEAIAAAAA4BAABkcnMvc2hhcGV4bWwueG1sUEsFBgAAAAAGAAYA&#10;WwEAALgDAAAAAA==&#10;">
                  <v:fill on="f" focussize="0,0"/>
                  <v:stroke weight="2.25pt" color="#4472C4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FiQu/MAAAADb&#10;AAAADwAAAGRycy9kb3ducmV2LnhtbEWPS2vDMBCE74X8B7GB3mo5pbjBjexDIS9CKXGSQ2+LtbVN&#10;rJVrKc7j11eFQo7DzHzDzPKLacVAvWssK5hEMQji0uqGKwX73fxpCsJ5ZI2tZVJwJQd5NnqYYart&#10;mbc0FL4SAcIuRQW1910qpStrMugi2xEH79v2Bn2QfSV1j+cAN618juNEGmw4LNTY0XtN5bE4GQXN&#10;TS+GzY/5/Co+ltZdj4fXl/VBqcfxJH4D4eni7+H/9korSBL4+xJ+gMx+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WJC78&#10;wAAAANsAAAAPAAAAAAAAAAEAIAAAACIAAABkcnMvZG93bnJldi54bWxQSwECFAAUAAAACACHTuJA&#10;My8FnjsAAAA5AAAAEAAAAAAAAAABACAAAAAPAQAAZHJzL3NoYXBleG1sLnhtbFBLBQYAAAAABgAG&#10;AFsBAAC5AwAAAAA=&#10;">
                  <v:fill on="f" focussize="0,0"/>
                  <v:stroke weight="2.25pt" color="#4472C4 [3204]" miterlimit="8" joinstyle="miter"/>
                  <v:imagedata o:title=""/>
                  <o:lock v:ext="edit" aspectratio="f"/>
                </v:line>
              </v:group>
            </w:pict>
          </mc:Fallback>
        </mc:AlternateContent>
      </w:r>
      <w:bookmarkEnd w:id="36"/>
      <w:bookmarkEnd w:id="37"/>
      <w:bookmarkEnd w:id="38"/>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bookmarkStart w:id="39" w:name="靶向药物相关突变基因及临床意义"/>
      <w:bookmarkEnd w:id="39"/>
      <w:r>
        <w:rPr>
          <w:sz w:val="36"/>
        </w:rPr>
        <mc:AlternateContent>
          <mc:Choice Requires="wps">
            <w:drawing>
              <wp:anchor distT="0" distB="0" distL="114300" distR="114300" simplePos="0" relativeHeight="251682816" behindDoc="0" locked="0" layoutInCell="1" allowOverlap="1">
                <wp:simplePos x="0" y="0"/>
                <wp:positionH relativeFrom="column">
                  <wp:posOffset>1088390</wp:posOffset>
                </wp:positionH>
                <wp:positionV relativeFrom="paragraph">
                  <wp:posOffset>100330</wp:posOffset>
                </wp:positionV>
                <wp:extent cx="4037965" cy="624205"/>
                <wp:effectExtent l="0" t="0" r="0" b="0"/>
                <wp:wrapNone/>
                <wp:docPr id="1019" name="文本框 67"/>
                <wp:cNvGraphicFramePr/>
                <a:graphic xmlns:a="http://schemas.openxmlformats.org/drawingml/2006/main">
                  <a:graphicData uri="http://schemas.microsoft.com/office/word/2010/wordprocessingShape">
                    <wps:wsp>
                      <wps:cNvSpPr txBox="1"/>
                      <wps:spPr>
                        <a:xfrm>
                          <a:off x="4808855" y="1544955"/>
                          <a:ext cx="4037965" cy="6242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color w:val="4472C4"/>
                              </w:rPr>
                            </w:pPr>
                            <w:r>
                              <w:rPr>
                                <w:rFonts w:hint="eastAsia" w:hAnsi="等线" w:cs="Arial"/>
                                <w:b/>
                                <w:bCs/>
                                <w:color w:val="4472C4"/>
                                <w:sz w:val="32"/>
                                <w:szCs w:val="32"/>
                                <w:lang w:val="en-US" w:eastAsia="zh-CN"/>
                              </w:rPr>
                              <w:t>靶向用药基因检测结果及临床意义</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7pt;margin-top:7.9pt;height:49.15pt;width:317.95pt;z-index:251682816;mso-width-relative:page;mso-height-relative:page;" filled="f" stroked="f" coordsize="21600,21600" o:gfxdata="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493cddoAAAAKAQAADwAA&#10;AAAAAAABACAAAAAiAAAAZHJzL2Rvd25yZXYueG1sUEsBAhQAFAAAAAgAh07iQALCvuxNAgAAggQA&#10;AA4AAAAAAAAAAQAgAAAAKQEAAGRycy9lMm9Eb2MueG1sUEsFBgAAAAAGAAYAWQEAAOgFAAAAAA==&#10;">
                <v:fill on="f" focussize="0,0"/>
                <v:stroke on="f" weight="0.5pt"/>
                <v:imagedata o:title=""/>
                <o:lock v:ext="edit" aspectratio="f"/>
                <v:textbox>
                  <w:txbxContent>
                    <w:p>
                      <w:pPr>
                        <w:jc w:val="center"/>
                        <w:rPr>
                          <w:color w:val="4472C4"/>
                        </w:rPr>
                      </w:pPr>
                      <w:r>
                        <w:rPr>
                          <w:rFonts w:hint="eastAsia" w:hAnsi="等线" w:cs="Arial"/>
                          <w:b/>
                          <w:bCs/>
                          <w:color w:val="4472C4"/>
                          <w:sz w:val="32"/>
                          <w:szCs w:val="32"/>
                          <w:lang w:val="en-US" w:eastAsia="zh-CN"/>
                        </w:rPr>
                        <w:t>靶向用药基因检测结果及临床意义</w:t>
                      </w:r>
                    </w:p>
                  </w:txbxContent>
                </v:textbox>
              </v:shape>
            </w:pict>
          </mc:Fallback>
        </mc:AlternateContent>
      </w:r>
    </w:p>
    <w:p>
      <w:pPr>
        <w:adjustRightInd w:val="0"/>
        <w:snapToGrid w:val="0"/>
        <w:jc w:val="left"/>
        <w:outlineLvl w:val="1"/>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pPr>
      <w:bookmarkStart w:id="40" w:name="具有明确临床意义的基因变异【I类】"/>
      <w:bookmarkEnd w:id="40"/>
      <w:bookmarkStart w:id="41" w:name="_Toc89103148"/>
      <w:bookmarkStart w:id="42" w:name="_Toc45207814"/>
      <w:r>
        <w:rPr>
          <w:rFonts w:hAnsi="等线" w:cs="Arial"/>
          <w:b/>
          <w:bCs/>
          <w:color w:val="4472C4"/>
          <w:sz w:val="28"/>
          <w:szCs w:val="28"/>
        </w:rPr>
        <w:drawing>
          <wp:anchor distT="0" distB="0" distL="114300" distR="114300" simplePos="0" relativeHeight="251683840" behindDoc="0" locked="0" layoutInCell="1" allowOverlap="1">
            <wp:simplePos x="0" y="0"/>
            <wp:positionH relativeFrom="column">
              <wp:posOffset>19685</wp:posOffset>
            </wp:positionH>
            <wp:positionV relativeFrom="paragraph">
              <wp:posOffset>67945</wp:posOffset>
            </wp:positionV>
            <wp:extent cx="275590" cy="277495"/>
            <wp:effectExtent l="0" t="0" r="3810" b="1905"/>
            <wp:wrapNone/>
            <wp:docPr id="1020" name="图片 71"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具有</w:t>
      </w:r>
      <w:r>
        <w:rPr>
          <w:rFonts w:hint="eastAsia" w:hAnsi="等线" w:cs="Arial"/>
          <w:b/>
          <w:bCs/>
          <w:color w:val="4472C4"/>
          <w:sz w:val="28"/>
          <w:szCs w:val="28"/>
        </w:rPr>
        <w:t>明确</w:t>
      </w:r>
      <w:r>
        <w:rPr>
          <w:rFonts w:hAnsi="等线" w:cs="Arial"/>
          <w:b/>
          <w:bCs/>
          <w:color w:val="4472C4"/>
          <w:sz w:val="28"/>
          <w:szCs w:val="28"/>
        </w:rPr>
        <w:t>临床意义的基因变异</w:t>
      </w:r>
      <w:bookmarkEnd w:id="41"/>
      <w:bookmarkEnd w:id="42"/>
      <w:r>
        <w:rPr>
          <w:rFonts w:hint="eastAsia" w:hAnsi="等线" w:cs="Arial"/>
          <w:b/>
          <w:bCs/>
          <w:color w:val="4472C4"/>
          <w:sz w:val="28"/>
          <w:szCs w:val="28"/>
        </w:rPr>
        <w:t>【Ⅰ类】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bl>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pPr>
      <w:bookmarkStart w:id="43" w:name="具有潜在临床意义的基因变异【II类】"/>
      <w:bookmarkEnd w:id="43"/>
      <w:r>
        <w:rPr>
          <w:rFonts w:hAnsi="等线" w:cs="Arial"/>
          <w:b/>
          <w:bCs/>
          <w:color w:val="4472C4"/>
          <w:sz w:val="28"/>
          <w:szCs w:val="28"/>
        </w:rPr>
        <w:drawing>
          <wp:anchor distT="0" distB="0" distL="114300" distR="114300" simplePos="0" relativeHeight="251692032" behindDoc="0" locked="0" layoutInCell="1" allowOverlap="1">
            <wp:simplePos x="0" y="0"/>
            <wp:positionH relativeFrom="column">
              <wp:posOffset>19685</wp:posOffset>
            </wp:positionH>
            <wp:positionV relativeFrom="paragraph">
              <wp:posOffset>67945</wp:posOffset>
            </wp:positionV>
            <wp:extent cx="275590" cy="277495"/>
            <wp:effectExtent l="0" t="0" r="3810" b="1905"/>
            <wp:wrapNone/>
            <wp:docPr id="1021" name="图片 20"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具有</w:t>
      </w:r>
      <w:r>
        <w:rPr>
          <w:rFonts w:hint="eastAsia" w:hAnsi="等线" w:cs="Arial"/>
          <w:b/>
          <w:bCs/>
          <w:color w:val="4472C4"/>
          <w:sz w:val="28"/>
          <w:szCs w:val="28"/>
        </w:rPr>
        <w:t>潜在</w:t>
      </w:r>
      <w:r>
        <w:rPr>
          <w:rFonts w:hAnsi="等线" w:cs="Arial"/>
          <w:b/>
          <w:bCs/>
          <w:color w:val="4472C4"/>
          <w:sz w:val="28"/>
          <w:szCs w:val="28"/>
        </w:rPr>
        <w:t>临床意义的基因变异</w:t>
      </w:r>
      <w:r>
        <w:rPr>
          <w:rFonts w:hint="eastAsia" w:hAnsi="等线" w:cs="Arial"/>
          <w:b/>
          <w:bCs/>
          <w:color w:val="4472C4"/>
          <w:sz w:val="28"/>
          <w:szCs w:val="28"/>
        </w:rPr>
        <w:t>【Ⅱ类】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KRAS</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NM_004985</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c.35G&gt;T</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p.G12V</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exon2</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22.18%</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PIK3CA</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NM_006218</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c.1636C&gt;A</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p.Q546K</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exon10</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2.4%</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TP53</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NM_000546</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c.216dupC</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p.V73Rfs*76</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exon4</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移码突变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27.53%</w:t>
            </w:r>
          </w:p>
        </w:tc>
      </w:tr>
    </w:tbl>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rPr>
          <w:rFonts w:hAnsi="等线" w:cs="Arial"/>
          <w:b/>
          <w:bCs/>
          <w:color w:val="4472C4"/>
          <w:sz w:val="28"/>
          <w:szCs w:val="28"/>
        </w:rPr>
      </w:pPr>
      <w:bookmarkStart w:id="44" w:name="临床意义未明的基因变异"/>
      <w:bookmarkEnd w:id="44"/>
      <w:bookmarkStart w:id="45" w:name="_Toc89103149"/>
      <w:bookmarkStart w:id="46" w:name="_Toc45207815"/>
      <w:r>
        <w:rPr>
          <w:rFonts w:hAnsi="等线" w:cs="Arial"/>
          <w:b/>
          <w:bCs/>
          <w:color w:val="4472C4"/>
          <w:sz w:val="28"/>
          <w:szCs w:val="28"/>
        </w:rPr>
        <w:drawing>
          <wp:anchor distT="0" distB="0" distL="114300" distR="114300" simplePos="0" relativeHeight="251684864" behindDoc="0" locked="0" layoutInCell="1" allowOverlap="1">
            <wp:simplePos x="0" y="0"/>
            <wp:positionH relativeFrom="column">
              <wp:posOffset>22860</wp:posOffset>
            </wp:positionH>
            <wp:positionV relativeFrom="paragraph">
              <wp:posOffset>41910</wp:posOffset>
            </wp:positionV>
            <wp:extent cx="275590" cy="277495"/>
            <wp:effectExtent l="0" t="0" r="3810" b="1905"/>
            <wp:wrapNone/>
            <wp:docPr id="1022" name="图片 72"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临床意义未明的基因变异</w:t>
      </w:r>
      <w:bookmarkEnd w:id="45"/>
      <w:bookmarkEnd w:id="46"/>
      <w:r>
        <w:rPr>
          <w:rFonts w:hint="eastAsia" w:hAnsi="等线" w:cs="Arial"/>
          <w:b/>
          <w:bCs/>
          <w:color w:val="4472C4"/>
          <w:sz w:val="28"/>
          <w:szCs w:val="28"/>
        </w:rPr>
        <w:t>【Ⅲ类】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APC</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NM_000038</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c.4156A&gt;T</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p.R1386X</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exon16</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提前终止</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26.4%</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EGFR</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NM_005228</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c.1352G&gt;A</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p.R451H</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exon12</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1.33%</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EGFR</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NM_005228</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c.1994G&gt;A</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p.G665D</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exon17</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1.01%</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EGFR</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NM_005228</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c.3508C&gt;T</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p.P1170S</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exon28</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1.37%</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EGFR</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NM_201283</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c.1213A&gt;G</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p.S405G</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exon10</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1.09%</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FGFR3</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NM_000142</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c.670G&gt;A</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p.G224S</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exon6</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1.82%</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NF1</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NM_000267</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c.5694G&gt;C</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p.E1898D</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exon38</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1.07%</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int="eastAsia" w:hAnsi="等线" w:cs="等线"/>
                <w:b/>
                <w:bCs/>
                <w:color w:val="404040"/>
                <w:sz w:val="20"/>
                <w:szCs w:val="20"/>
                <w:lang w:bidi="ar"/>
              </w:rPr>
            </w:pPr>
            <w:r>
              <w:rPr>
                <w:rFonts w:hint="eastAsia" w:hAnsi="等线" w:cs="等线"/>
                <w:b/>
                <w:bCs/>
                <w:color w:val="404040"/>
                <w:sz w:val="20"/>
                <w:szCs w:val="20"/>
                <w:lang w:bidi="ar"/>
              </w:rPr>
              <w:t xml:space="preserve">RET</w:t>
            </w:r>
          </w:p>
        </w:tc>
        <w:tc>
          <w:tcPr>
            <w:tcW w:w="1281"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NM_020975</w:t>
            </w:r>
          </w:p>
        </w:tc>
        <w:tc>
          <w:tcPr>
            <w:tcW w:w="1664"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c.220G&gt;A</w:t>
            </w:r>
          </w:p>
        </w:tc>
        <w:tc>
          <w:tcPr>
            <w:tcW w:w="1601"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p.G74S</w:t>
            </w:r>
          </w:p>
        </w:tc>
        <w:tc>
          <w:tcPr>
            <w:tcW w:w="1330" w:type="dxa"/>
            <w:tcBorders>
              <w:tl2br w:val="nil"/>
              <w:tr2bl w:val="nil"/>
            </w:tcBorders>
            <w:shd w:val="clear" w:color="auto" w:fill="F2F2F2"/>
            <w:textDirection w:val="lrTbV"/>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exon2</w:t>
            </w:r>
          </w:p>
        </w:tc>
        <w:tc>
          <w:tcPr>
            <w:tcW w:w="1270"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int="eastAsia" w:hAnsi="等线" w:eastAsia="等线" w:cs="等线"/>
                <w:color w:val="000000"/>
                <w:sz w:val="20"/>
                <w:szCs w:val="20"/>
                <w:lang w:eastAsia="zh-CN"/>
                <w14:textFill>
                  <w14:solidFill>
                    <w14:srgbClr w14:val="000000">
                      <w14:lumMod w14:val="75000"/>
                      <w14:lumOff w14:val="25000"/>
                    </w14:srgbClr>
                  </w14:solidFill>
                </w14:textFill>
              </w:rPr>
            </w:pPr>
            <w:r>
              <w:rPr>
                <w:rFonts w:hint="eastAsia" w:hAnsi="等线" w:cs="等线"/>
                <w:color w:val="404040"/>
                <w:sz w:val="20"/>
                <w:szCs w:val="20"/>
                <w:lang w:bidi="ar"/>
              </w:rPr>
              <w:t xml:space="preserve">1.24%</w:t>
            </w:r>
          </w:p>
        </w:tc>
      </w:tr>
    </w:tbl>
    <w:p>
      <w:pPr>
        <w:snapToGrid w:val="0"/>
        <w:spacing w:line="40" w:lineRule="exact"/>
        <w:jc w:val="left"/>
        <w:rPr>
          <w:rFonts w:hAnsi="等线"/>
          <w:sz w:val="18"/>
          <w:szCs w:val="18"/>
        </w:rPr>
      </w:pPr>
      <w:r>
        <w:rPr>
          <w:rFonts w:hAnsi="等线"/>
          <w:szCs w:val="21"/>
        </w:rPr>
        <w:br w:type="page"/>
      </w:r>
    </w:p>
    <w:p>
      <w:bookmarkStart w:id="47" w:name="基因变异解析"/>
      <w:bookmarkEnd w:id="47"/>
      <w:bookmarkStart w:id="48" w:name="_Toc89103150"/>
      <w:r>
        <mc:AlternateContent>
          <mc:Choice Requires="wpg">
            <w:drawing>
              <wp:anchor distT="0" distB="0" distL="114300" distR="114300" simplePos="0" relativeHeight="251680768" behindDoc="0" locked="0" layoutInCell="1" allowOverlap="1">
                <wp:simplePos x="0" y="0"/>
                <wp:positionH relativeFrom="column">
                  <wp:posOffset>-546100</wp:posOffset>
                </wp:positionH>
                <wp:positionV relativeFrom="paragraph">
                  <wp:posOffset>-121285</wp:posOffset>
                </wp:positionV>
                <wp:extent cx="2188845" cy="1001395"/>
                <wp:effectExtent l="0" t="0" r="8255" b="1905"/>
                <wp:wrapNone/>
                <wp:docPr id="1023" name="组合 1"/>
                <wp:cNvGraphicFramePr/>
                <a:graphic xmlns:a="http://schemas.openxmlformats.org/drawingml/2006/main">
                  <a:graphicData uri="http://schemas.microsoft.com/office/word/2010/wordprocessingGroup">
                    <wpg:wgp>
                      <wpg:cNvGrpSpPr/>
                      <wpg:grpSpPr>
                        <a:xfrm>
                          <a:off x="0" y="0"/>
                          <a:ext cx="2188845" cy="1001395"/>
                          <a:chOff x="0" y="25547"/>
                          <a:chExt cx="2188845" cy="1001395"/>
                        </a:xfrm>
                      </wpg:grpSpPr>
                      <wpg:grpSp>
                        <wpg:cNvPr id="98" name="组合 98"/>
                        <wpg:cNvGrpSpPr/>
                        <wpg:grpSpPr>
                          <a:xfrm>
                            <a:off x="0" y="43962"/>
                            <a:ext cx="2188845" cy="982980"/>
                            <a:chOff x="941" y="183851"/>
                            <a:chExt cx="3447" cy="1548"/>
                          </a:xfrm>
                        </wpg:grpSpPr>
                        <wps:wsp>
                          <wps:cNvPr id="46" name="圆角矩形 21"/>
                          <wps:cNvSpPr/>
                          <wps:spPr>
                            <a:xfrm>
                              <a:off x="1724" y="183851"/>
                              <a:ext cx="2664" cy="677"/>
                            </a:xfrm>
                            <a:prstGeom prst="roundRect">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99" name="组合 42"/>
                          <wpg:cNvGrpSpPr/>
                          <wpg:grpSpPr>
                            <a:xfrm>
                              <a:off x="941" y="184120"/>
                              <a:ext cx="783" cy="1279"/>
                              <a:chOff x="941" y="184120"/>
                              <a:chExt cx="783" cy="1279"/>
                            </a:xfrm>
                          </wpg:grpSpPr>
                          <wps:wsp>
                            <wps:cNvPr id="48" name="直接连接符 38"/>
                            <wps:cNvCnPr/>
                            <wps:spPr>
                              <a:xfrm flipV="1">
                                <a:off x="941" y="184145"/>
                                <a:ext cx="783" cy="3"/>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9" name="直接连接符 39"/>
                            <wps:cNvCnPr/>
                            <wps:spPr>
                              <a:xfrm>
                                <a:off x="973" y="184120"/>
                                <a:ext cx="15" cy="1227"/>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0" name="直接连接符 40"/>
                            <wps:cNvCnPr/>
                            <wps:spPr>
                              <a:xfrm flipV="1">
                                <a:off x="987" y="185312"/>
                                <a:ext cx="300" cy="1"/>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1" name="等腰三角形 41"/>
                            <wps:cNvSpPr/>
                            <wps:spPr>
                              <a:xfrm rot="5400000">
                                <a:off x="1213" y="185238"/>
                                <a:ext cx="201" cy="120"/>
                              </a:xfrm>
                              <a:prstGeom prst="triangle">
                                <a:avLst>
                                  <a:gd name="adj" fmla="val 51754"/>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56" name="文本框 56"/>
                        <wps:cNvSpPr txBox="1"/>
                        <wps:spPr>
                          <a:xfrm>
                            <a:off x="669925" y="25547"/>
                            <a:ext cx="1310640" cy="417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Ansi="等线" w:cs="等线"/>
                                  <w:b/>
                                  <w:bCs/>
                                  <w:color w:val="FFFFFF"/>
                                  <w:sz w:val="24"/>
                                  <w:szCs w:val="24"/>
                                </w:rPr>
                              </w:pPr>
                              <w:r>
                                <w:rPr>
                                  <w:rFonts w:hint="eastAsia" w:hAnsi="等线" w:cs="等线"/>
                                  <w:b/>
                                  <w:bCs/>
                                  <w:color w:val="FFFFFF"/>
                                  <w:sz w:val="28"/>
                                  <w:szCs w:val="28"/>
                                </w:rPr>
                                <w:t>基因变异解析</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43pt;margin-top:-9.55pt;height:78.85pt;width:172.35pt;z-index:251680768;mso-width-relative:page;mso-height-relative:page;" coordorigin="0,25547" coordsize="2188845,1001395" o:gfxdata="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">
                <o:lock v:ext="edit" aspectratio="f"/>
                <v:group id="_x0000_s1026" o:spid="_x0000_s1026" o:spt="203" style="position:absolute;left:0;top:43962;height:982980;width:2188845;" coordorigin="941,183851" coordsize="3447,1548" o:gfxdata="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GGrnkm7AAAA2wAAAA8AAAAAAAAAAQAgAAAAIgAAAGRycy9kb3ducmV2LnhtbFBL&#10;AQIUABQAAAAIAIdO4kAzLwWeOwAAADkAAAAVAAAAAAAAAAEAIAAAAAoBAABkcnMvZ3JvdXBzaGFw&#10;ZXhtbC54bWxQSwUGAAAAAAYABgBgAQAAxwMAAAAA&#10;">
                  <o:lock v:ext="edit" aspectratio="f"/>
                  <v:roundrect id="圆角矩形 21" o:spid="_x0000_s1026" o:spt="2" style="position:absolute;left:1724;top:183851;height:677;width:2664;v-text-anchor:middle;" fillcolor="#4472C4" filled="t" stroked="f" coordsize="21600,21600" arcsize="0.166666666666667" o:gfxdata="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mUzTO8AAAA&#10;2wAAAA8AAAAAAAAAAQAgAAAAIgAAAGRycy9kb3ducmV2LnhtbFBLAQIUABQAAAAIAIdO4kAzLwWe&#10;OwAAADkAAAAQAAAAAAAAAAEAIAAAAAsBAABkcnMvc2hhcGV4bWwueG1sUEsFBgAAAAAGAAYAWwEA&#10;ALUDAAAAAA==&#10;">
                    <v:fill on="t" focussize="0,0"/>
                    <v:stroke on="f" weight="1pt" miterlimit="8" joinstyle="miter"/>
                    <v:imagedata o:title=""/>
                    <o:lock v:ext="edit" aspectratio="f"/>
                  </v:roundrect>
                  <v:group id="组合 42" o:spid="_x0000_s1026" o:spt="203" style="position:absolute;left:941;top:184120;height:1279;width:783;" coordorigin="941,184120" coordsize="783,1279" o:gfxdata="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uc70r0AAADbAAAADwAAAAAAAAABACAAAAAiAAAAZHJzL2Rvd25yZXYueG1s&#10;UEsBAhQAFAAAAAgAh07iQDMvBZ47AAAAOQAAABUAAAAAAAAAAQAgAAAADAEAAGRycy9ncm91cHNo&#10;YXBleG1sLnhtbFBLBQYAAAAABgAGAGABAADJAwAAAAA=&#10;">
                    <o:lock v:ext="edit" aspectratio="f"/>
                    <v:line id="直接连接符 38" o:spid="_x0000_s1026" o:spt="20" style="position:absolute;left:941;top:184145;flip:y;height:3;width:783;" fillcolor="#4472C4" filled="t" stroked="t" coordsize="21600,21600" o:gfxdata="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vX/F/LgAAADbAAAA&#10;DwAAAAAAAAABACAAAAAiAAAAZHJzL2Rvd25yZXYueG1sUEsBAhQAFAAAAAgAh07iQDMvBZ47AAAA&#10;OQAAABAAAAAAAAAAAQAgAAAABwEAAGRycy9zaGFwZXhtbC54bWxQSwUGAAAAAAYABgBbAQAAsQMA&#10;AAAA&#10;">
                      <v:fill on="t" focussize="0,0"/>
                      <v:stroke weight="3.25pt" color="#4472C4 [3204]" miterlimit="8" joinstyle="miter"/>
                      <v:imagedata o:title=""/>
                      <o:lock v:ext="edit" aspectratio="f"/>
                    </v:line>
                    <v:line id="直接连接符 39" o:spid="_x0000_s1026" o:spt="20" style="position:absolute;left:973;top:184120;height:1227;width:15;" fillcolor="#4472C4" filled="t" stroked="t" coordsize="21600,21600" o:gfxdata="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wDk5V&#10;wAAAANsAAAAPAAAAAAAAAAEAIAAAACIAAABkcnMvZG93bnJldi54bWxQSwECFAAUAAAACACHTuJA&#10;My8FnjsAAAA5AAAAEAAAAAAAAAABACAAAAAPAQAAZHJzL3NoYXBleG1sLnhtbFBLBQYAAAAABgAG&#10;AFsBAAC5AwAAAAA=&#10;">
                      <v:fill on="t" focussize="0,0"/>
                      <v:stroke weight="3.25pt" color="#4472C4 [3204]" miterlimit="8" joinstyle="miter"/>
                      <v:imagedata o:title=""/>
                      <o:lock v:ext="edit" aspectratio="f"/>
                    </v:line>
                    <v:line id="直接连接符 40" o:spid="_x0000_s1026" o:spt="20" style="position:absolute;left:987;top:185312;flip:y;height:1;width:300;" fillcolor="#4472C4" filled="t" stroked="t" coordsize="21600,21600" o:gfxdata="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xtBfJ7gAAADbAAAA&#10;DwAAAAAAAAABACAAAAAiAAAAZHJzL2Rvd25yZXYueG1sUEsBAhQAFAAAAAgAh07iQDMvBZ47AAAA&#10;OQAAABAAAAAAAAAAAQAgAAAABwEAAGRycy9zaGFwZXhtbC54bWxQSwUGAAAAAAYABgBbAQAAsQMA&#10;AAAA&#10;">
                      <v:fill on="t" focussize="0,0"/>
                      <v:stroke weight="3.25pt" color="#4472C4 [3204]" miterlimit="8" joinstyle="miter"/>
                      <v:imagedata o:title=""/>
                      <o:lock v:ext="edit" aspectratio="f"/>
                    </v:line>
                    <v:shape id="等腰三角形 41" o:spid="_x0000_s1026" o:spt="5" type="#_x0000_t5" style="position:absolute;left:1213;top:185238;height:120;width:201;rotation:5898240f;v-text-anchor:middle;" fillcolor="#4472C4" filled="t" stroked="f" coordsize="21600,21600" o:gfxdata="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mL1F2&#10;wAAAANsAAAAPAAAAAAAAAAEAIAAAACIAAABkcnMvZG93bnJldi54bWxQSwECFAAUAAAACACHTuJA&#10;My8FnjsAAAA5AAAAEAAAAAAAAAABACAAAAAPAQAAZHJzL3NoYXBleG1sLnhtbFBLBQYAAAAABgAG&#10;AFsBAAC5AwAAAAA=&#10;" adj="11179">
                      <v:fill on="t" focussize="0,0"/>
                      <v:stroke on="f" weight="1pt" miterlimit="8" joinstyle="miter"/>
                      <v:imagedata o:title=""/>
                      <o:lock v:ext="edit" aspectratio="f"/>
                    </v:shape>
                  </v:group>
                </v:group>
                <v:shape id="_x0000_s1026" o:spid="_x0000_s1026" o:spt="202" type="#_x0000_t202" style="position:absolute;left:669925;top:25547;height:417830;width:1310640;" filled="f" stroked="f" coordsize="21600,21600" o:gfxdata="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evNr7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rPr>
                            <w:rFonts w:hAnsi="等线" w:cs="等线"/>
                            <w:b/>
                            <w:bCs/>
                            <w:color w:val="FFFFFF"/>
                            <w:sz w:val="24"/>
                            <w:szCs w:val="24"/>
                          </w:rPr>
                        </w:pPr>
                        <w:r>
                          <w:rPr>
                            <w:rFonts w:hint="eastAsia" w:hAnsi="等线" w:cs="等线"/>
                            <w:b/>
                            <w:bCs/>
                            <w:color w:val="FFFFFF"/>
                            <w:sz w:val="28"/>
                            <w:szCs w:val="28"/>
                          </w:rPr>
                          <w:t xml:space="preserve">基因变异解析</w:t>
                        </w:r>
                      </w:p>
                    </w:txbxContent>
                  </v:textbox>
                </v:shape>
              </v:group>
            </w:pict>
          </mc:Fallback>
        </mc:AlternateContent>
      </w:r>
    </w:p>
    <w:bookmarkEnd w:id="48"/>
    <w:p>
      <w:pPr>
        <w:rPr>
          <w:rFonts w:hAnsi="等线" w:cs="Arial"/>
          <w:b/>
          <w:bCs/>
          <w:color w:val="0070C0"/>
          <w:szCs w:val="24"/>
        </w:rPr>
      </w:pPr>
    </w:p>
    <w:p>
      <w:pPr>
        <w:rPr>
          <w:rFonts w:hAnsi="等线" w:cs="Arial"/>
          <w:b/>
          <w:bCs/>
          <w:color w:val="0070C0"/>
          <w:szCs w:val="24"/>
        </w:rPr>
      </w:pPr>
    </w:p>
    <w:tbl>
      <w:tblPr>
        <w:tblStyle w:val="58"/>
        <w:tblW w:w="10299" w:type="dxa"/>
        <w:jc w:val="cente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649"/>
        <w:gridCol w:w="1334"/>
        <w:gridCol w:w="1385"/>
        <w:gridCol w:w="1645"/>
        <w:gridCol w:w="4286"/>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int="eastAsia" w:hAnsi="等线" w:eastAsia="等线"/>
                <w:b/>
                <w:bCs/>
                <w:color w:val="FFFFFF"/>
                <w:lang w:eastAsia="zh-CN"/>
              </w:rPr>
            </w:pPr>
            <w:r>
              <w:rPr>
                <w:rFonts w:hint="eastAsia" w:hAnsi="等线"/>
                <w:b/>
                <w:bCs/>
                <w:color w:val="FFFFFF"/>
              </w:rPr>
              <w:t xml:space="preserve">基因变异：KRAS:NM_004985:exon2:c.35G&gt;T:p.G12V</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int="eastAsia" w:hAnsi="等线" w:eastAsia="等线" w:cs="等线"/>
                <w:b/>
                <w:bCs/>
                <w:color w:val="000000"/>
                <w:sz w:val="18"/>
                <w:szCs w:val="18"/>
                <w:lang w:eastAsia="zh-CN"/>
              </w:rPr>
            </w:pPr>
            <w:r>
              <w:rPr>
                <w:rFonts w:hint="eastAsia" w:hAnsi="等线" w:cs="等线"/>
                <w:b/>
                <w:bCs/>
                <w:color w:val="000000"/>
                <w:sz w:val="18"/>
                <w:szCs w:val="18"/>
              </w:rPr>
              <w:t xml:space="preserve">基因功能: </w:t>
            </w:r>
            <w:r>
              <w:rPr>
                <w:rFonts w:hint="eastAsia" w:hAnsi="等线" w:cs="等线"/>
                <w:b w:val="0"/>
                <w:bCs w:val="0"/>
                <w:color w:val="000000"/>
                <w:sz w:val="18"/>
                <w:szCs w:val="18"/>
              </w:rPr>
              <w:t xml:space="preserve">KRAS是小分子GTP酶RAS家族的成员，该家族催化GTP水解为GDP。在生理条件下，这些RAS蛋白在活性(GTP结合)和非活性(GDP结合)状态间循环，以激活受体酪氨酸激酶(RTK)下游的MAPK和PI3K致癌途径信号传导(PMID: 22189424)。RAS酶的功能受到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西妥昔单抗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Cetuximab是一种表皮生长因子受体(EGFR)拮抗剂，FDA指出Cetuximab不适用于RAS突变型或RAS突变情况未知的结直肠癌患者(FDA-approval: 11/2020)。</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曲妥珠单抗 + 妥卡替尼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FDA推荐Trastuzumab + Tucatinib应用于携带HER2重复，RAS野生型的结直肠癌患者(NCCN: Rectal Cancer-Version 4.2022)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帕尼单抗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Panitumumab是一种表皮生长因子受体(EGFR)拮抗剂，FDA指出Panitumumab不适用于RAS突变型或RAS突变状态未知的转移性结直肠癌患者(FDA-approval: 06/2017)。</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曲妥珠单抗 + 帕妥珠单抗,曲妥珠单抗 + 拉帕替尼,trastuzumab deruxtecan</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NCCN</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NCCN指南指出携带KRAS突变的结直肠癌患者对trastuzumab + pertuzumab,trastuzumab + lapatinib,trastuzumab deruxtecan治疗不敏感(NCCN: Colon Cancer-Version 2.2021)。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EGFR-TKI</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非小细胞肺癌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NCCN</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NCCN指南指出携带KRAS、BRAF基因突变和ALK、ROS1融合的非小细胞肺癌患者可能对EGFR信号通路抑制剂类靶向药物耐药(NCCN: Non-Small Cell Lung Cancer-Version 6.2021)。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考比替尼 + Ipatasertib</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临床试验</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在一项Ib期临床试验中，13例携带KRAS突变的晚期实体瘤肿瘤患者接受Cobimetinib+ipatasertib联合治疗后，2例部分缓解，3例病情稳定，6例疾病进展为最佳反应(PMID: 32737717)。</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贝美替尼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临床试验</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在一项I期临床试验中，纳入21位晚期实体瘤患者接受Binimetinib治疗，其中8例患者携带KRAS突变。在纳入分析的18例患者中，14例患者病情稳定，包含4例携带KRAS突变患者(PMID: 27071922)。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曲美替尼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临床前研究</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在一项临床前研究中，曲美替尼可抑制BRAF V600E和KRAS突变肿瘤细胞系的增殖，其IC50值低于PD0325901或selumetinib，虽然曲美替尼和PD0325901在体外对MEK1具有相似的效力。与PD0325901相比，在这些浓度下用曲美替尼或CH5126766处理48小时，可在KRAS突变细胞(H2030)和表达活性CRAF数量增加的A375细胞中更持久地抑制pERK活性(PMID: 24746704)。</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RMC-6236</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临床前研究</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体外实验中，RMC-6236抑制了细胞生长，并诱导多种RAS癌细胞株凋亡，在临床前体内异种移植模型中，RMC-6236可抑制RAS通路的激活长达48小时。与健康组织相比RMC-6236对肿瘤组织的亲和力更高，在多种细胞系来源的异种移植模型（NSCLC、CRC和PDAC等）中RMC-6236对KRAS突变（特别是KRAS G12D, KRAS G12V和 KRAS G12R）均有明显也持久的肿瘤消退效果（Abstract: Koltun et al. Abstract# 3597, AACR 2022）。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int="eastAsia" w:hAnsi="等线" w:eastAsia="等线"/>
                <w:b/>
                <w:bCs/>
                <w:color w:val="FFFFFF"/>
                <w:lang w:eastAsia="zh-CN"/>
              </w:rPr>
            </w:pPr>
            <w:r>
              <w:rPr>
                <w:rFonts w:hint="eastAsia" w:hAnsi="等线"/>
                <w:b/>
                <w:bCs/>
                <w:color w:val="FFFFFF"/>
              </w:rPr>
              <w:t xml:space="preserve">基因变异：PIK3CA:NM_006218:exon10:c.1636C&gt;A:p.Q546K</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int="eastAsia" w:hAnsi="等线" w:eastAsia="等线" w:cs="等线"/>
                <w:b/>
                <w:bCs/>
                <w:color w:val="000000"/>
                <w:sz w:val="18"/>
                <w:szCs w:val="18"/>
                <w:lang w:eastAsia="zh-CN"/>
              </w:rPr>
            </w:pPr>
            <w:r>
              <w:rPr>
                <w:rFonts w:hint="eastAsia" w:hAnsi="等线" w:cs="等线"/>
                <w:b/>
                <w:bCs/>
                <w:color w:val="000000"/>
                <w:sz w:val="18"/>
                <w:szCs w:val="18"/>
              </w:rPr>
              <w:t xml:space="preserve">基因功能: </w:t>
            </w:r>
            <w:r>
              <w:rPr>
                <w:rFonts w:hint="eastAsia" w:hAnsi="等线" w:cs="等线"/>
                <w:b w:val="0"/>
                <w:bCs w:val="0"/>
                <w:color w:val="000000"/>
                <w:sz w:val="18"/>
                <w:szCs w:val="18"/>
              </w:rPr>
              <w:t xml:space="preserve">PIK3CA基因编码磷脂酰肌醇3-激酶(PI3K)的p110α催化亚基，PI3K是由受体酪氨酸激酶 [例如表皮生长因子受体(EGFR)和人表皮生长受体2 (HER2/ERBB2)] 驱动的信号转导通路中的整合信号分子。PI3K的活性形式由调节性p85亚单位和催化性p110亚单位组成。激活的PI3K将PIP2转化为PIP3，引发AKT(蛋白激酶B)的磷酸化和雷帕霉素(mTOR)激酶的激活。PI3K/AKT/mTOR信号通路通过调节各种细胞功能(包括细胞增殖、存活、代谢和细胞骨架重组)来促进肿瘤发生(PMID: 16453012)。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阿培利司</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临床I期</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在一项I期临床试验中，携带PIK3CA基因突变的晚期实体瘤患者当使用Alpelisib (BYL719)治疗后，58.2% (78/134)的患者病情得到控制，1个患者获得完全缓解，7个部分缓解，70个患者疾病稳定，临床受益率 (CR+PR+SD&gt;24 weeks)为15.7% (21/134)(PMID: 29401002; NCT01219699)。</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RLY-2608</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临床I期</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RLY-2608是一种新型PI3Kα抑制剂，一项I期临床研究旨在评估RLY-2608作为单药在PI3KCA突变的晚期实体瘤患者以及与氟维司群联合用于PIK3CA突变，HR+，HER2-转移性乳腺癌（MBC）的中的临床活性。实验正在进行中（Abstract: Perez et al. Abstract# TPS1124, ASCO 2022）。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int="eastAsia" w:hAnsi="等线" w:eastAsia="等线"/>
                <w:b/>
                <w:bCs/>
                <w:color w:val="FFFFFF"/>
                <w:lang w:eastAsia="zh-CN"/>
              </w:rPr>
            </w:pPr>
            <w:r>
              <w:rPr>
                <w:rFonts w:hint="eastAsia" w:hAnsi="等线"/>
                <w:b/>
                <w:bCs/>
                <w:color w:val="FFFFFF"/>
              </w:rPr>
              <w:t xml:space="preserve">基因变异：TP53:NM_000546:exon4:c.216dupC:p.V73Rfs*76</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int="eastAsia" w:hAnsi="等线" w:eastAsia="等线" w:cs="等线"/>
                <w:b/>
                <w:bCs/>
                <w:color w:val="000000"/>
                <w:sz w:val="18"/>
                <w:szCs w:val="18"/>
                <w:lang w:eastAsia="zh-CN"/>
              </w:rPr>
            </w:pPr>
            <w:r>
              <w:rPr>
                <w:rFonts w:hint="eastAsia" w:hAnsi="等线" w:cs="等线"/>
                <w:b/>
                <w:bCs/>
                <w:color w:val="000000"/>
                <w:sz w:val="18"/>
                <w:szCs w:val="18"/>
              </w:rPr>
              <w:t xml:space="preserve">基因功能: </w:t>
            </w:r>
            <w:r>
              <w:rPr>
                <w:rFonts w:hint="eastAsia" w:hAnsi="等线" w:cs="等线"/>
                <w:b w:val="0"/>
                <w:bCs w:val="0"/>
                <w:color w:val="000000"/>
                <w:sz w:val="18"/>
                <w:szCs w:val="18"/>
              </w:rPr>
              <w:t xml:space="preserve">TP53编码p53肿瘤抑制蛋白，这是一种转录因子，通过诱导下游抗肿瘤反应，如DNA损伤修复和凋亡，对细胞应激(包括DNA损伤和致癌性激活)产生应答(PMID: 11099028)。p53蛋白由一个N末端反式激活结构域，一个中心DNA结合结构域、一个寡聚结构域，以及一个C末端调节结构域组成(PMID: 22713868)。</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培唑帕尼 + 伏立诺他</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临床I期</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I期试验中，Votrient（培唑帕尼）和Zolinza（伏立诺他）的联合疗法改善了携带TP53热点突变的晚期实体瘤患者的无进展生存期和总生存率，疾病稳定率为45％（5/11），而未检测到TP53突变患者的疾病稳定率为16％（4/25）（PMID：25669829）。</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b/>
                <w:bCs/>
                <w:sz w:val="18"/>
                <w:szCs w:val="18"/>
                <w:lang w:eastAsia="zh-CN"/>
              </w:rPr>
            </w:pPr>
            <w:r>
              <w:rPr>
                <w:rFonts w:hint="eastAsia" w:hAnsi="等线" w:cs="等线"/>
                <w:b/>
                <w:bCs/>
                <w:sz w:val="18"/>
                <w:szCs w:val="18"/>
                <w:lang w:bidi="ar"/>
              </w:rPr>
              <w:t xml:space="preserve">贝伐珠单抗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int="eastAsia" w:hAnsi="等线" w:eastAsia="等线" w:cs="等线"/>
                <w:sz w:val="18"/>
                <w:szCs w:val="18"/>
                <w:lang w:eastAsia="zh-CN"/>
              </w:rPr>
            </w:pPr>
            <w:r>
              <w:rPr>
                <w:rFonts w:hint="eastAsia" w:hAnsi="等线" w:cs="等线"/>
                <w:sz w:val="18"/>
                <w:szCs w:val="18"/>
                <w:lang w:bidi="ar"/>
              </w:rPr>
              <w:t xml:space="preserve">临床试验</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int="eastAsia" w:hAnsi="等线" w:eastAsia="等线" w:cs="等线"/>
                <w:sz w:val="18"/>
                <w:szCs w:val="18"/>
                <w:lang w:eastAsia="zh-CN"/>
              </w:rPr>
            </w:pPr>
            <w:r>
              <w:rPr>
                <w:rFonts w:hint="eastAsia" w:hAnsi="等线" w:cs="等线"/>
                <w:sz w:val="18"/>
                <w:szCs w:val="18"/>
                <w:lang w:bidi="ar"/>
              </w:rPr>
              <w:t xml:space="preserve">在一项临床试验中，106位携带TP53突变的晚期实体瘤患者使用VEGF/VEGFR抑制剂如Bevacizumab治疗，其疾病稳定、部分缓解、完全缓解、总生存期、从开始治疗到治疗失败的时间这些指标均好于TP53基因野生型的82位患者(PMID: 27466356)。在一项回顾性研究中，携带TP53基因突变的癌症患者采用bevacizumab治疗，其疾病无进展生存期长于TP53基因野生型患者(PMID: 23670029)。</w:t>
            </w:r>
          </w:p>
        </w:tc>
      </w:tr>
    </w:tbl>
    <w:p>
      <w:pPr>
        <w:rPr>
          <w:rFonts w:hAnsi="等线"/>
          <w:szCs w:val="21"/>
        </w:rPr>
      </w:pPr>
      <w:r>
        <w:rPr>
          <w:rFonts w:hAnsi="等线"/>
          <w:szCs w:val="21"/>
        </w:rPr>
        <w:br w:type="page"/>
      </w:r>
    </w:p>
    <w:p>
      <w:pPr>
        <w:rPr>
          <w:rFonts w:hAnsi="等线"/>
          <w:szCs w:val="21"/>
        </w:rPr>
      </w:pPr>
      <w:bookmarkStart w:id="49" w:name="靶向药物解析"/>
      <w:bookmarkEnd w:id="49"/>
      <w:r>
        <mc:AlternateContent>
          <mc:Choice Requires="wpg">
            <w:drawing>
              <wp:anchor distT="0" distB="0" distL="114300" distR="114300" simplePos="0" relativeHeight="251686912" behindDoc="0" locked="0" layoutInCell="1" allowOverlap="1">
                <wp:simplePos x="0" y="0"/>
                <wp:positionH relativeFrom="column">
                  <wp:posOffset>-546100</wp:posOffset>
                </wp:positionH>
                <wp:positionV relativeFrom="paragraph">
                  <wp:posOffset>-121285</wp:posOffset>
                </wp:positionV>
                <wp:extent cx="2188845" cy="1001395"/>
                <wp:effectExtent l="0" t="0" r="8255" b="1905"/>
                <wp:wrapNone/>
                <wp:docPr id="1024" name="组合 21"/>
                <wp:cNvGraphicFramePr/>
                <a:graphic xmlns:a="http://schemas.openxmlformats.org/drawingml/2006/main">
                  <a:graphicData uri="http://schemas.microsoft.com/office/word/2010/wordprocessingGroup">
                    <wpg:wgp>
                      <wpg:cNvGrpSpPr/>
                      <wpg:grpSpPr>
                        <a:xfrm>
                          <a:off x="0" y="0"/>
                          <a:ext cx="2188845" cy="1001395"/>
                          <a:chOff x="0" y="25547"/>
                          <a:chExt cx="2188845" cy="1001395"/>
                        </a:xfrm>
                      </wpg:grpSpPr>
                      <wpg:grpSp>
                        <wpg:cNvPr id="30" name="组合 98"/>
                        <wpg:cNvGrpSpPr/>
                        <wpg:grpSpPr>
                          <a:xfrm>
                            <a:off x="0" y="43962"/>
                            <a:ext cx="2188845" cy="982980"/>
                            <a:chOff x="941" y="183851"/>
                            <a:chExt cx="3447" cy="1548"/>
                          </a:xfrm>
                        </wpg:grpSpPr>
                        <wps:wsp>
                          <wps:cNvPr id="32" name="圆角矩形 21"/>
                          <wps:cNvSpPr/>
                          <wps:spPr>
                            <a:xfrm>
                              <a:off x="1724" y="183851"/>
                              <a:ext cx="2664" cy="677"/>
                            </a:xfrm>
                            <a:prstGeom prst="roundRect">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38" name="组合 42"/>
                          <wpg:cNvGrpSpPr/>
                          <wpg:grpSpPr>
                            <a:xfrm>
                              <a:off x="941" y="184120"/>
                              <a:ext cx="783" cy="1279"/>
                              <a:chOff x="941" y="184120"/>
                              <a:chExt cx="783" cy="1279"/>
                            </a:xfrm>
                          </wpg:grpSpPr>
                          <wps:wsp>
                            <wps:cNvPr id="39" name="直接连接符 38"/>
                            <wps:cNvCnPr/>
                            <wps:spPr>
                              <a:xfrm flipV="1">
                                <a:off x="941" y="184145"/>
                                <a:ext cx="783" cy="3"/>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0" name="直接连接符 39"/>
                            <wps:cNvCnPr/>
                            <wps:spPr>
                              <a:xfrm>
                                <a:off x="973" y="184120"/>
                                <a:ext cx="15" cy="1227"/>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1" name="直接连接符 40"/>
                            <wps:cNvCnPr/>
                            <wps:spPr>
                              <a:xfrm flipV="1">
                                <a:off x="987" y="185312"/>
                                <a:ext cx="300" cy="1"/>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2" name="等腰三角形 41"/>
                            <wps:cNvSpPr/>
                            <wps:spPr>
                              <a:xfrm rot="5400000">
                                <a:off x="1213" y="185238"/>
                                <a:ext cx="201" cy="120"/>
                              </a:xfrm>
                              <a:prstGeom prst="triangle">
                                <a:avLst>
                                  <a:gd name="adj" fmla="val 51754"/>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53" name="文本框 56"/>
                        <wps:cNvSpPr txBox="1"/>
                        <wps:spPr>
                          <a:xfrm>
                            <a:off x="669925" y="25547"/>
                            <a:ext cx="1310640" cy="417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Ansi="等线" w:cs="等线"/>
                                  <w:b/>
                                  <w:bCs/>
                                  <w:color w:val="FFFFFF"/>
                                  <w:sz w:val="24"/>
                                  <w:szCs w:val="24"/>
                                </w:rPr>
                              </w:pPr>
                              <w:r>
                                <w:rPr>
                                  <w:rFonts w:hint="eastAsia" w:hAnsi="等线" w:cs="等线"/>
                                  <w:b/>
                                  <w:bCs/>
                                  <w:color w:val="FFFFFF"/>
                                  <w:sz w:val="28"/>
                                  <w:szCs w:val="28"/>
                                </w:rPr>
                                <w:t>靶向药物解析</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43pt;margin-top:-9.55pt;height:78.85pt;width:172.35pt;z-index:251686912;mso-width-relative:page;mso-height-relative:page;" coordorigin="0,25547" coordsize="2188845,1001395" o:gfxdata="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">
                <o:lock v:ext="edit" aspectratio="f"/>
                <v:group id="组合 98" o:spid="_x0000_s1026" o:spt="203" style="position:absolute;left:0;top:43962;height:982980;width:2188845;" coordorigin="941,183851" coordsize="3447,1548" o:gfxdata="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ubvNdboAAADbAAAADwAAAAAAAAABACAAAAAiAAAAZHJzL2Rvd25yZXYueG1sUEsB&#10;AhQAFAAAAAgAh07iQDMvBZ47AAAAOQAAABUAAAAAAAAAAQAgAAAACQEAAGRycy9ncm91cHNoYXBl&#10;eG1sLnhtbFBLBQYAAAAABgAGAGABAADGAwAAAAA=&#10;">
                  <o:lock v:ext="edit" aspectratio="f"/>
                  <v:roundrect id="圆角矩形 21" o:spid="_x0000_s1026" o:spt="2" style="position:absolute;left:1724;top:183851;height:677;width:2664;v-text-anchor:middle;" fillcolor="#4472C4" filled="t" stroked="f" coordsize="21600,21600" arcsize="0.166666666666667" o:gfxdata="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qbhNvQAA&#10;ANs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oundrect>
                  <v:group id="组合 42" o:spid="_x0000_s1026" o:spt="203" style="position:absolute;left:941;top:184120;height:1279;width:783;" coordorigin="941,184120" coordsize="783,1279" o:gfxdata="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R83Bc7oAAADbAAAADwAAAAAAAAABACAAAAAiAAAAZHJzL2Rvd25yZXYueG1sUEsB&#10;AhQAFAAAAAgAh07iQDMvBZ47AAAAOQAAABUAAAAAAAAAAQAgAAAACQEAAGRycy9ncm91cHNoYXBl&#10;eG1sLnhtbFBLBQYAAAAABgAGAGABAADGAwAAAAA=&#10;">
                    <o:lock v:ext="edit" aspectratio="f"/>
                    <v:line id="直接连接符 38" o:spid="_x0000_s1026" o:spt="20" style="position:absolute;left:941;top:184145;flip:y;height:3;width:783;" fillcolor="#4472C4" filled="t" stroked="t" coordsize="21600,21600" o:gfxdata="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KNRMaugAAANsA&#10;AAAPAAAAAAAAAAEAIAAAACIAAABkcnMvZG93bnJldi54bWxQSwECFAAUAAAACACHTuJAMy8FnjsA&#10;AAA5AAAAEAAAAAAAAAABACAAAAAJAQAAZHJzL3NoYXBleG1sLnhtbFBLBQYAAAAABgAGAFsBAACz&#10;AwAAAAA=&#10;">
                      <v:fill on="t" focussize="0,0"/>
                      <v:stroke weight="3.25pt" color="#4472C4 [3204]" miterlimit="8" joinstyle="miter"/>
                      <v:imagedata o:title=""/>
                      <o:lock v:ext="edit" aspectratio="f"/>
                    </v:line>
                    <v:line id="直接连接符 39" o:spid="_x0000_s1026" o:spt="20" style="position:absolute;left:973;top:184120;height:1227;width:15;" fillcolor="#4472C4" filled="t" stroked="t" coordsize="21600,21600" o:gfxdata="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NOfIvQAA&#10;ANsAAAAPAAAAAAAAAAEAIAAAACIAAABkcnMvZG93bnJldi54bWxQSwECFAAUAAAACACHTuJAMy8F&#10;njsAAAA5AAAAEAAAAAAAAAABACAAAAAMAQAAZHJzL3NoYXBleG1sLnhtbFBLBQYAAAAABgAGAFsB&#10;AAC2AwAAAAA=&#10;">
                      <v:fill on="t" focussize="0,0"/>
                      <v:stroke weight="3.25pt" color="#4472C4 [3204]" miterlimit="8" joinstyle="miter"/>
                      <v:imagedata o:title=""/>
                      <o:lock v:ext="edit" aspectratio="f"/>
                    </v:line>
                    <v:line id="直接连接符 40" o:spid="_x0000_s1026" o:spt="20" style="position:absolute;left:987;top:185312;flip:y;height:1;width:300;" fillcolor="#4472C4" filled="t" stroked="t" coordsize="21600,21600" o:gfxdata="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RWxhvQAA&#10;ANsAAAAPAAAAAAAAAAEAIAAAACIAAABkcnMvZG93bnJldi54bWxQSwECFAAUAAAACACHTuJAMy8F&#10;njsAAAA5AAAAEAAAAAAAAAABACAAAAAMAQAAZHJzL3NoYXBleG1sLnhtbFBLBQYAAAAABgAGAFsB&#10;AAC2AwAAAAA=&#10;">
                      <v:fill on="t" focussize="0,0"/>
                      <v:stroke weight="3.25pt" color="#4472C4 [3204]" miterlimit="8" joinstyle="miter"/>
                      <v:imagedata o:title=""/>
                      <o:lock v:ext="edit" aspectratio="f"/>
                    </v:line>
                    <v:shape id="等腰三角形 41" o:spid="_x0000_s1026" o:spt="5" type="#_x0000_t5" style="position:absolute;left:1213;top:185238;height:120;width:201;rotation:5898240f;v-text-anchor:middle;" fillcolor="#4472C4" filled="t" stroked="f" coordsize="21600,21600" o:gfxdata="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b9zwG/&#10;AAAA2wAAAA8AAAAAAAAAAQAgAAAAIgAAAGRycy9kb3ducmV2LnhtbFBLAQIUABQAAAAIAIdO4kAz&#10;LwWeOwAAADkAAAAQAAAAAAAAAAEAIAAAAA4BAABkcnMvc2hhcGV4bWwueG1sUEsFBgAAAAAGAAYA&#10;WwEAALgDAAAAAA==&#10;" adj="11179">
                      <v:fill on="t" focussize="0,0"/>
                      <v:stroke on="f" weight="1pt" miterlimit="8" joinstyle="miter"/>
                      <v:imagedata o:title=""/>
                      <o:lock v:ext="edit" aspectratio="f"/>
                    </v:shape>
                  </v:group>
                </v:group>
                <v:shape id="文本框 56" o:spid="_x0000_s1026" o:spt="202" type="#_x0000_t202" style="position:absolute;left:669925;top:25547;height:417830;width:1310640;" filled="f" stroked="f" coordsize="21600,21600" o:gfxdata="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2cbje/&#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hAnsi="等线" w:cs="等线"/>
                            <w:b/>
                            <w:bCs/>
                            <w:color w:val="FFFFFF"/>
                            <w:sz w:val="24"/>
                            <w:szCs w:val="24"/>
                          </w:rPr>
                        </w:pPr>
                        <w:r>
                          <w:rPr>
                            <w:rFonts w:hint="eastAsia" w:hAnsi="等线" w:cs="等线"/>
                            <w:b/>
                            <w:bCs/>
                            <w:color w:val="FFFFFF"/>
                            <w:sz w:val="28"/>
                            <w:szCs w:val="28"/>
                          </w:rPr>
                          <w:t>靶向药物解析</w:t>
                        </w:r>
                      </w:p>
                    </w:txbxContent>
                  </v:textbox>
                </v:shape>
              </v:group>
            </w:pict>
          </mc:Fallback>
        </mc:AlternateContent>
      </w:r>
    </w:p>
    <w:p/>
    <w:p/>
    <w:tbl>
      <w:tblPr>
        <w:tblStyle w:val="64"/>
        <w:tblW w:w="10324" w:type="dxa"/>
        <w:jc w:val="center"/>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Layout w:type="fixed"/>
        <w:tblCellMar>
          <w:top w:w="0" w:type="dxa"/>
          <w:left w:w="108" w:type="dxa"/>
          <w:bottom w:w="0" w:type="dxa"/>
          <w:right w:w="108" w:type="dxa"/>
        </w:tblCellMar>
      </w:tblPr>
      <w:tblGrid>
        <w:gridCol w:w="1596"/>
        <w:gridCol w:w="1653"/>
        <w:gridCol w:w="7075"/>
      </w:tblGrid>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95" w:hRule="atLeast"/>
          <w:tblHeader/>
          <w:jc w:val="center"/>
        </w:trPr>
        <w:tc>
          <w:tcPr>
            <w:tcW w:w="1596"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药物敏感性</w:t>
            </w:r>
          </w:p>
        </w:tc>
        <w:tc>
          <w:tcPr>
            <w:tcW w:w="1653"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药物名称</w:t>
            </w:r>
          </w:p>
        </w:tc>
        <w:tc>
          <w:tcPr>
            <w:tcW w:w="7075"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 xml:space="preserve">用药解析</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考比替尼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COTELLIC是一种激酶抑制剂，其适应症为联合维莫非尼用于治疗携带BRAF V600E或V600K突变的不可切除性或转移性黑色素瘤。\\考比替尼(Cobimetinib)是一种靶向有丝分裂原活化蛋白激酶（MAPK）/细胞外信号调节激酶1（MEK1）和MEK2的可逆抑制剂。MEK蛋白是细胞外信号调节激酶(ERK)通路的上游调控蛋白，该通路可促进细胞增殖。BRAF V600E和K突变导致包括MEK1和MEK2在内的BRAF途径的组成性激活。在移植表达BRAF V600E肿瘤细胞系的小鼠中，考比替尼(Cobimetinib)抑制了肿瘤细胞的生长。考比替尼(Cobimetinib)和维罗非尼(Vemurafenib)靶向RAS/RAF/MEK/ERK通路的两种不同激酶。与单独使用这两种药物相比，考比替尼(Cobimetinib)和维罗非尼(Vemurafenib)联合用药在体外可增加细胞凋亡，在植入表达BRAF V600E突变的肿瘤细胞系的小鼠中可抑制肿瘤生长。此外,在小鼠肿瘤细胞移植模型中,考比替尼(Cobimetinib)还可以阻止维罗非尼(Vemurafenib)介导的野生型BRAF肿瘤细胞系的生长。</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贝美替尼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MEKTOVI是一种激酶抑制剂，联合康奈非尼用于治疗BRAF V600E或V600K突变的不可切除性或转移性黑色素瘤。\\贝美替尼(Binimetinib)是一种有丝分裂原激活的细胞外信号调节激酶1（MEK1）和MEK2活性的可逆抑制剂。MEK蛋白是细胞外信号相关激酶（ERK）途径的上游调控蛋白。在体外，贝美替尼(Binimetinib)在非细胞试验中能抑制细胞外信号相关激酶(ERK)的磷酸化，并抑制了BRAF突变型人黑素瘤细胞系的活力和MEK依赖性磷酸化。在BRAF突变的小鼠异种移植瘤模型中，贝美替尼(Binimetinib)也能抑制体内ERK磷酸化和肿瘤生长。贝美替尼(Binimetinib)和康奈非尼(Encorafenib)靶向RAS/RAF/MEK/ERK通路的两种不同激酶。与单独使用任何一种药物相比，康奈非尼(Encorafenib)和贝美替尼(Binimetinib)联合用药在体外对BRAF突变阳性细胞系产生更强的抗增殖活性，且在BRAF V600E突变型人类黑色素瘤小鼠异种移植研究中，对肿瘤生长抑制显示出更强的抗肿瘤活性。此外，与单独使用两种药物相比，联合使用贝美替尼(Binimetinib)和康奈非尼(Encorafenib)延缓了BRAF V600E突变型人黑色素瘤小鼠异种移植瘤模型耐药性的出现。</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曲美替尼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MEKINIST是一种激酶抑制剂，其适应症为：1.单药用于治疗携带BRAF V600E或V600K突变的不可切除性或转移性黑色素瘤。2.联合达拉菲尼用于：(1)携带BRAF V600E或V600K突变的不可切除性或转移性黑色素瘤。(2)携带BRAF V600E或V600K突变且完全切除后累及淋巴结的黑色素瘤患者的辅助治疗。(3)携带BRAF V600E突变的转移性非小细胞肺癌(NSCLC)。(4)没有令人满意的局部区域治疗选择的BRAF V600E突变的局部晚期或转移性间变性甲状腺癌(ATC)。(5)携带BRAF V600E突变的不可切除或转移性实体瘤成人和6岁及以上的儿童患者的治疗，且这些患者在之前的治疗后进展，没有满意的替代治疗方案。（6）需要接受系统治疗并携带BRAF V600E突变的低级别胶质瘤( LGG )患者（1岁及以上）。\\曲美替尼（Trametinib）是有丝分裂原激活的细胞外信号调节激酶1（MEK1）和MEK2激活以及MEK1和MEK2激酶活性的可逆抑制剂。MEK蛋白是细胞外信号相关激酶（ERK）途径的上游调控因子，可促进细胞增殖。BRAF V600E突变导致包括MEK1和MEK2在内的BRAF途径的组成性激活。曲美替尼（Trametinib）在体外和体内抑制各种BRAF V600突变阳性肿瘤细胞的生长。曲美替尼（Trametinib）和达拉非尼（Dabrafenib）靶向RAS/RAF/MEK/ERK通路中的两种不同激酶。与单独使用这两种药物相比，曲美替尼（Trametinib）和达拉非尼（Dabrafenib）联合用药可加强对BRAF V600突变阳性肿瘤细胞系生长的抑制作用，并延长对BRAF V600突变阳性肿瘤异种移植物肿瘤生长的抑制作用。</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阿培利司</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PIQRAY是一种激酶抑制剂，适用于联合氟维司群用于治疗既往接受内分泌治疗后疾病进展、携带PIK3CA突变、激素受体(HR)阳性、人表皮生长因子受体2 (HER2)阴性的绝经后妇女和男性晚期或转移性乳腺癌。\\阿培利司（Alpelisib）是PI3Kα的抑制剂，主要具有针对PI3Kα的抑制活性。在体外和体内模型中，PIK3CA基因的获得性突变将导致PI3Kα和Akt信号通路的激活，从而使细胞性状发生转化以及促使肿瘤的产生。在乳腺癌细胞系中，阿培利司（Alpelisib）抑制PI3K下游靶标（包括Akt）的磷酸化，并在具有PIK3CA突变的细胞系中显示出活性。在体内，阿培利司（Alpelisib）在移植瘤模型（包括乳腺癌模型）中抑制PI3K/Akt信号通路并降低肿瘤生长。通过阿培利司（Alpelisib）治疗抑制PI3K已显示出可诱导乳腺癌细胞中雌激素受体（ER）转录的增加。在ER阳性、PIK3CA突变的乳腺癌细胞系的移植瘤模型中，阿培利司（Alpelisib）和氟维司琼（Fulvestrant）联合治疗显示出较单一治疗更强的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RLY-2608</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RLY-2608是一种新型变构、泛突变、选择性PI3Kα抑制剂,一项临床I期研究正在评估RLY-2608作为单药在PI3KCA突变的晚期实体瘤患者( pts )中的临床活性，以及联合氟维司群在PIK3CA突变、HR +、HER2 -转移性乳腺癌( MBC )患者中的临床活性。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伏立诺他</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ZOLINZA是一种组蛋白去乙酰化酶(HDAC)抑制剂，用于治疗在两种全身治疗期间或之后出现进展，持续或复发疾病的的皮肤T细胞淋巴瘤(CTCL)患者的皮肤表现。\\伏立诺他(Vorinostat)可在纳摩尔级浓度下抑制组蛋白脱乙酰基酶HDAC1、HDAC2和HDAC3（I类）和HDAC6（II类）的酶活性（IC50  86 nM）。这些酶催化去除组蛋白赖氨酸残基上的乙酰基基团。在某些肿瘤细胞中，HDACs过表达，或异常募集到致癌的转录因子上，导致核小体核心组蛋白乙酰化不足。伏立诺他(Vorinostat)通过抑制组蛋白脱乙酰基酶来导致乙酰化组蛋白的累积，并诱导某些转化细胞的细胞周期停滞和/或凋亡。伏立诺他(Vorinostat)抗肿瘤作用的机制尚未完全阐明。</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培唑帕尼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VOTRIENT是一种激酶抑制剂，适用于晚期肾细胞癌(RCC)和既往接受过化疗的晚期软组织肉瘤(STS)成人患者。\\培唑帕尼（Pazopanib）是血管内皮生长因子受体（VEGFR）-1/2/3，血小板衍生生长因子受体（PDGFR）-α/β，成纤维细胞生长因子受体（FGFR）-1/3，细胞因子受体（Kit），白介素2受体诱导的T细胞激酶（Itk），淋巴细胞特异性蛋白酪氨酸激酶（Lck）和跨膜糖蛋白受体酪氨酸激酶（c-Fms）的多靶点酪氨酸激酶抑制剂。 在体外，培唑帕尼（Pazopanib）抑制配体诱导的VEGFR-2、Kit和PDGFR-β受体自身磷酸化。 在体内，培唑帕尼（Pazopanib）抑制小鼠肺中VEGF诱导的VEGFR-2磷酸化、小鼠模型的血管生成以及小鼠中某些人源肿瘤异种移植物的生长。</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贝伐珠单抗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Avastin是一种血管内皮生长因子抑制剂，其适应症为：1.与基于氟尿嘧啶的静脉化疗联合用于转移性结直肠癌的一线或二线治疗。2.与基于氟嘧啶-伊立替康或氟嘧啶-奥沙利铂的化疗联合用于含Avastin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Avastin单药，用于治疗首次手术切除后的III期或IV期疾病。(2)与紫杉醇、聚乙二醇脂质体多柔比星或拓扑替康联合，用于治疗既往接受不超过2个化疗方案的铂耐复发性疾病。(3)与卡铂、紫杉醇或卡铂、吉西他滨联合，然后使用Avastin单药，用于治疗铂敏感复发性疾病。8.与Atezolizumab联合用于治疗既往未接受过全身治疗的不可切除或转移性肝细胞癌(HCC)患者。\\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西妥昔单抗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ERBITUX是一种表皮生长因子受体(EGFR)拮抗剂，其适应症包括：1.联合放疗用于治疗局部或区域晚期头颈鳞癌。2.联合铂类和氟尿嘧啶用于治疗头颈部复发性局部疾病或转移性头颈鳞癌。3.铂类治疗后进展的复发性或转移性头颈鳞癌。4.联合FOLFIRI用于K-Ras野生型、EGFR表达阳性的转移性结直肠癌的一线治疗。5.联合伊立替康用于治疗对基于伊立替康化疗耐药的K-Ras野生型、EGFR表达阳性的转移性结直肠癌患者。6.单药用于治疗对奥沙利铂和伊立替康为基础的化疗失败或对伊立替康不耐受的K-Ras野生型、EGFR表达阳性的转移性结直肠癌患者。7.联合康奈非尼用于先前治疗后携带BRAF V600E突变的转移性结直肠癌(CRC)成人患者。\\表皮生长因子受体（EGFR，HER1，c-ErbB-1）是一种跨膜糖蛋白，是I型受体酪氨酸激酶亚家族（包括EGFR，HER2，HER3和HER4）的成员。EGFR在包括皮肤和毛囊在内的许多正常上皮组织中组成性表达。EGFR的表达在许多人类肿瘤（包括头颈部、结肠和直肠癌）中也能检测到。西妥昔单抗(Cetuximab)可以特异性地与正常细胞和肿瘤细胞表面的EGFR结合,竞争性抑制EGFR与表皮生长因子（EGF）或其他配体（如转化生长因子-α）的结合。体外试验和体内动物研究表明，西妥昔单抗(Cetuximab)与EGFR的结合可阻断受体相关激酶的磷酸化和激活，从而抑制细胞生长，诱导细胞凋亡，降低基质金属蛋白酶和血管内皮生长因子的生成。EGFR信号转导可导致野生型Ras蛋白的激活，但在有Ras体细胞激活突变的细胞中，Ras突变蛋白处于持续激活状态，且独立于EGFR的调控。在体外，西妥昔单抗(Cetuximab)可介导针对某些类型的人类肿瘤的抗体依赖性细胞介导的细胞毒作用（ADCC）。体外试验和体内动物研究表明，西妥昔单抗(Cetuximab)可抑制表达EGFR肿瘤细胞的生长和存活。在缺乏EGFR表达的人肿瘤异种移植模型中未观察到西妥昔单抗(Cetuximab)的抗肿瘤作用。在小鼠人源肿瘤异种移植模型中，放疗或伊立替康(Irinotecan)加用西妥昔单抗(Cetuximab)后，抗肿瘤效果比单纯放疗或化疗更好。</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帕妥珠单抗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PERJETA是一种HER2/neu受体拮抗剂，其适应症为：1.联合曲妥珠单抗和多西紫杉醇用于治疗既往未接受过抗HER2治疗或转移性疾病化疗的HER2阳性转移性乳腺癌(MBC)。2.联合曲妥珠单抗和化疗用于：(1)HER2阳性的局部晚期、炎性或早期乳腺癌(直径大于2cm或淋巴结阳性)的新辅助治疗，作为早期乳腺癌整体治疗方案的一部分。(2)具有复发高风险的HER2阳性早期乳腺癌的辅助治疗。\\帕妥珠单抗（Pertuzumab）靶向细胞外人表皮生长因子受体2蛋白（HER2）的二聚化结构域（子结构域Ⅱ），从而阻断HER2与其它HER家族成员（包括EGFR、HER3和HER4）的配体依赖性异源二聚化作用。结果，帕妥珠单抗（Pertuzumab）通过两条主要信号途径（有丝分裂原激活蛋白[MAP]激酶和磷酸肌醇3激酶[PI3K]）抑制配体启动的细胞内信号传导。这些信号通路的抑制分别导致细胞生长停滞和凋亡。此外，帕妥珠单抗（Pertuzumab）介导抗体依赖性细胞介导的细胞毒性作用（ADCC）。尽管单独使用帕妥珠单抗（Pertuzumab）能抑制人肿瘤细胞的增殖，但在过表达HER2的异种移植模型中，帕妥珠单抗（Pertuzumab）和曲妥珠单抗（Trastuzumab）联合可以增强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妥卡替尼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TUKYSA是一种激酶抑制剂，其适应证为：1.联合曲妥珠单抗和卡培他滨治疗既往转移治疗中接受过一种或多种抗HER2治疗的晚期不可切除性或转移性HER2阳性乳腺癌成人患者，包括发生脑转移的患者。2.联合曲妥珠单抗治疗患者之前在氟嘧啶、奥沙利铂和伊立替康化疗治疗后进展的RAS野生型，HER2阳性不可切除或转移性结直肠癌患者，。\\Tucatinib是HER2的酪氨酸激酶抑制剂。 在体外试验中，Tucatinib能够抑制HER2和HER3磷酸化，从而抑制下游MAPK和AKT信号通路和细胞增殖，并且在表达HER2的肿瘤细胞中显示出抗肿瘤活性。在体内研究中，Tucatinib可以抑制表达HER2肿瘤的生长。与单独使用这两种药物相比，Tucatinib和曲妥珠单抗（Trastuzumab)联合在体外试验和体内研究中均表现出增强的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曲妥珠单抗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Herceptin是一种HER2/neu受体拮抗剂，其适应症为：1.HER2过表达的乳腺癌。2.HER2过表达的转移性胃或胃食管交界处腺癌。\\HER2（或c-erbB2）原癌基因编码一个185 kDa的跨膜受体蛋白，该蛋白在结构上与表皮生长因子受体有关。曲妥珠单抗/赫赛汀（Trastuzumab/Herceptin）在体外及动物实验中均显示出可抑制HER2过表达肿瘤细胞的增殖。曲妥珠单抗/赫赛汀（Trastuzumab/Herceptin）是抗体依赖性细胞毒性（ADCC）的介体。在体外研究中，与未过表达HER2的癌细胞相比，曲妥珠单抗/赫赛汀（Trastuzumab/Herceptin）介导的ADCC优先作用于过表达HER2的癌细胞。</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帕尼单抗</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Vectibix是一种表皮生长因子受体(EGFR)拮抗剂，其适应症为：1.联合FOLFOX用于RAS野生型(KRAS和NRAS均为野生型)转移性结直肠癌(mCRC)的一线治疗。2.单药用于治疗既往接受含氟嘧啶类、奥沙利铂和伊立替康化疗后疾病进展的RAS野生型mCRC。\\跨膜糖蛋白EGFR是I型受体酪氨酸激酶（包括EGFR，HER2，HER3和HER4）亚家族的成员。EGFR在包括皮肤和毛囊在内的正常上皮组织中组成性表达。某些人类癌症（包括结肠癌和直肠癌）中EGFR过表达。EGFR与其正常配体（例如EGF、转化生长因子-α）的相互作用导致一系列胞内蛋白的磷酸化和激活，继而调节与细胞生长、存活、运动性以及增殖相关基因的转录。KRAS（Kirsten大鼠肉瘤病毒癌基因同源物）和NRAS（神经母细胞瘤RAS病毒癌基因同源物）是RAS癌基因家族中高度相关的成员。通过EGFR的信号转导可导致野生型KRAS和NRAS蛋白激活。然而，在具有RAS体细胞激活突变的细胞中，RAS突变蛋白处于持续激活状态，不依赖EGFR的调控。帕尼单抗（Panitumumab）可以与正常细胞和肿瘤细胞上的EGFR特异性结合，并竞争性抑制EGFR配体的结合。非临床研究表明，帕尼单抗（Panitumumab）与EGFR结合可阻止配体诱导的受体自磷酸化和受体相关激酶的激活，从而抑制细胞生长、诱导细胞凋亡、减少促炎细胞因子和血管生长因子的产生以及EGFR的内在化。体外试验和体内动物研究表明，帕尼单抗（Panitumumab）可以抑制某些表达EGFR人类肿瘤细胞系的生长和存活。</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int="eastAsia" w:hAnsi="等线" w:eastAsia="等线" w:cs="Arial"/>
                <w:b/>
                <w:bCs/>
                <w:color w:val="000000"/>
                <w:sz w:val="18"/>
                <w:szCs w:val="18"/>
                <w:lang w:eastAsia="zh-CN"/>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int="eastAsia" w:hAnsi="等线" w:eastAsia="等线" w:cs="Arial"/>
                <w:b/>
                <w:bCs/>
                <w:color w:val="000000"/>
                <w:sz w:val="18"/>
                <w:szCs w:val="18"/>
                <w:lang w:eastAsia="zh-CN"/>
              </w:rPr>
            </w:pPr>
            <w:r>
              <w:rPr>
                <w:rFonts w:hint="eastAsia" w:hAnsi="等线" w:cs="Arial"/>
                <w:color w:val="000000"/>
                <w:sz w:val="18"/>
                <w:szCs w:val="18"/>
                <w:lang w:bidi="ar"/>
              </w:rPr>
              <w:t xml:space="preserve">拉帕替尼</w:t>
            </w:r>
          </w:p>
        </w:tc>
        <w:tc>
          <w:tcPr>
            <w:tcW w:w="7075" w:type="dxa"/>
            <w:tcBorders>
              <w:tl2br w:val="nil"/>
              <w:tr2bl w:val="nil"/>
            </w:tcBorders>
            <w:shd w:val="clear" w:color="auto" w:fill="F2F2F2"/>
            <w:vAlign w:val="center"/>
          </w:tcPr>
          <w:p>
            <w:pPr>
              <w:widowControl/>
              <w:jc w:val="left"/>
              <w:rPr>
                <w:rFonts w:hint="eastAsia" w:hAnsi="等线" w:eastAsia="等线" w:cs="Arial"/>
                <w:b/>
                <w:bCs/>
                <w:color w:val="000000"/>
                <w:sz w:val="18"/>
                <w:szCs w:val="18"/>
                <w:lang w:eastAsia="zh-CN"/>
              </w:rPr>
            </w:pPr>
            <w:r>
              <w:rPr>
                <w:rFonts w:hint="eastAsia" w:hAnsi="等线" w:cs="Arial"/>
                <w:color w:val="000000"/>
                <w:sz w:val="18"/>
                <w:szCs w:val="18"/>
                <w:lang w:bidi="ar"/>
              </w:rPr>
              <w:t xml:space="preserve">TYKERB是一种激酶抑制剂，其适应症为：1.联合卡培他滨用于治疗过表达人表皮生长因子受体2(HER2)并且既往接受过蒽环类、紫杉类和曲妥珠单抗等治疗的晚期或转移性乳腺癌。2.联合来曲唑用于治疗过表达HER2受体适用激素治疗的绝经后妇女激素受体阳性转移性乳腺癌。\\拉帕替尼（Lapatinib）是一种4-苯胺喹唑啉类抑制剂，可抑制人表皮生长因子受体（EGFR [ErbB1]）和人表皮生长因子受体2（HER2 [ErbB2]）的胞内酪氨酸激酶结构域活性（预估Kiapp值分别为3 nM和13 nM），消除半衰期大于或等于300分钟。拉帕替尼（Lapatinib）可在体外和各种动物模型中抑制ErbB驱动的肿瘤细胞生长。在一项体外研究的4种受试肿瘤细胞系中，拉帕替尼（Lapatinib）和 5-FU（卡培他滨的活性代谢物）联合用药显示出相加作用。在对曲妥珠单抗（Trastuzumab）耐受的细胞系中拉帕替尼（Lapatinib）的生长抑制作用已得到评估。拉帕替尼（Lapatinib）对于可在含曲妥珠单抗（Trastuzumab）培养基中长期生长的乳腺癌细胞系也保持显著活性。这些体外研究表明，这两种药物之间没有交叉耐药性。共表达HER2的激素受体阳性乳腺癌细胞（如雌激素受体[ER]和/或孕激素受体[PgR]）易对内分泌治疗产生耐受。同样，激素受体阳性乳腺癌细胞缺乏EGFR或HER2时会上调这些受体蛋白表达，使肿瘤对内分泌治疗耐受。</w:t>
            </w:r>
          </w:p>
        </w:tc>
      </w:tr>
    </w:tbl>
    <w:p>
      <w:pPr>
        <w:rPr>
          <w:rFonts w:hAnsi="等线"/>
          <w:szCs w:val="21"/>
        </w:rPr>
      </w:pPr>
    </w:p>
    <w:p>
      <w:r>
        <w:rPr>
          <w:rFonts w:hAnsi="等线"/>
          <w:szCs w:val="21"/>
        </w:rPr>
        <w:br w:type="page"/>
      </w:r>
    </w:p>
    <w:p>
      <w:bookmarkStart w:id="50" w:name="HRR检测结果"/>
      <w:bookmarkEnd w:id="50"/>
    </w:p>
    <w:p>
      <w:pPr>
        <w:rPr>
          <w:rFonts w:hAnsi="等线"/>
          <w:szCs w:val="21"/>
        </w:rPr>
      </w:pPr>
      <w:r>
        <mc:AlternateContent>
          <mc:Choice Requires="wps">
            <w:drawing>
              <wp:anchor distT="0" distB="0" distL="114300" distR="114300" simplePos="0" relativeHeight="251668480" behindDoc="0" locked="0" layoutInCell="1" allowOverlap="1">
                <wp:simplePos x="0" y="0"/>
                <wp:positionH relativeFrom="margin">
                  <wp:posOffset>1111885</wp:posOffset>
                </wp:positionH>
                <wp:positionV relativeFrom="paragraph">
                  <wp:posOffset>-78740</wp:posOffset>
                </wp:positionV>
                <wp:extent cx="4064000" cy="712470"/>
                <wp:effectExtent l="0" t="0" r="0" b="0"/>
                <wp:wrapNone/>
                <wp:docPr id="1025" name="文本框 59"/>
                <wp:cNvGraphicFramePr/>
                <a:graphic xmlns:a="http://schemas.openxmlformats.org/drawingml/2006/main">
                  <a:graphicData uri="http://schemas.microsoft.com/office/word/2010/wordprocessingShape">
                    <wps:wsp>
                      <wps:cNvSpPr txBox="1"/>
                      <wps:spPr>
                        <a:xfrm>
                          <a:off x="0" y="0"/>
                          <a:ext cx="4064000" cy="7124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Ansi="等线" w:cs="Arial"/>
                                <w:b/>
                                <w:bCs/>
                                <w:color w:val="00B050"/>
                                <w:sz w:val="30"/>
                                <w:szCs w:val="30"/>
                              </w:rPr>
                            </w:pPr>
                            <w:r>
                              <w:rPr>
                                <w:rFonts w:hint="eastAsia" w:hAnsi="等线" w:cs="Arial"/>
                                <w:b/>
                                <w:bCs/>
                                <w:color w:val="00B050"/>
                                <w:sz w:val="30"/>
                                <w:szCs w:val="30"/>
                              </w:rPr>
                              <w:t>免疫治疗相关Biomarker检测结果及临床意义</w:t>
                            </w:r>
                          </w:p>
                          <w:p>
                            <w:pPr>
                              <w:spacing w:before="340" w:line="360" w:lineRule="auto"/>
                              <w:jc w:val="center"/>
                              <w:outlineLvl w:val="1"/>
                              <w:rPr>
                                <w:rFonts w:hAnsi="等线" w:cs="Arial"/>
                                <w:b/>
                                <w:bCs/>
                                <w:color w:val="00B0F0"/>
                                <w:sz w:val="30"/>
                                <w:szCs w:val="30"/>
                              </w:rPr>
                            </w:pPr>
                            <w:r>
                              <w:rPr>
                                <w:rFonts w:hint="eastAsia" w:hAnsi="等线" w:cs="Arial"/>
                                <w:b/>
                                <w:bCs/>
                                <w:color w:val="00B0F0"/>
                                <w:sz w:val="30"/>
                                <w:szCs w:val="30"/>
                              </w:rPr>
                              <w:t>疫治疗相关Biomarker检测结果及临床意义</w:t>
                            </w:r>
                          </w:p>
                          <w:p>
                            <w:pPr>
                              <w:jc w:val="center"/>
                              <w:rPr>
                                <w:color w:val="000000" w:themeColor="text1"/>
                                <w:sz w:val="30"/>
                                <w:szCs w:val="30"/>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7.55pt;margin-top:-6.2pt;height:56.1pt;width:320pt;mso-position-horizontal-relative:margin;z-index:251668480;mso-width-relative:page;mso-height-relative:page;" filled="f" stroked="f" coordsize="21600,21600" o:gfxdata="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AMqagdoAAAAKAQAADwAAAAAAAAABACAAAAAiAAAA&#10;ZHJzL2Rvd25yZXYueG1sUEsBAhQAFAAAAAgAh07iQPtatXU+AgAAaAQAAA4AAAAAAAAAAQAgAAAA&#10;KQEAAGRycy9lMm9Eb2MueG1sUEsFBgAAAAAGAAYAWQEAANkFAAAAAA==&#10;">
                <v:fill on="f" focussize="0,0"/>
                <v:stroke on="f" weight="0.5pt"/>
                <v:imagedata o:title=""/>
                <o:lock v:ext="edit" aspectratio="f"/>
                <v:textbox>
                  <w:txbxContent>
                    <w:p>
                      <w:pPr>
                        <w:spacing w:before="340" w:line="360" w:lineRule="auto"/>
                        <w:jc w:val="center"/>
                        <w:outlineLvl w:val="1"/>
                        <w:rPr>
                          <w:rFonts w:hAnsi="等线" w:cs="Arial"/>
                          <w:b/>
                          <w:bCs/>
                          <w:color w:val="00B050"/>
                          <w:sz w:val="30"/>
                          <w:szCs w:val="30"/>
                        </w:rPr>
                      </w:pPr>
                      <w:r>
                        <w:rPr>
                          <w:rFonts w:hint="eastAsia" w:hAnsi="等线" w:cs="Arial"/>
                          <w:b/>
                          <w:bCs/>
                          <w:color w:val="00B050"/>
                          <w:sz w:val="30"/>
                          <w:szCs w:val="30"/>
                        </w:rPr>
                        <w:t>免疫治疗相关Biomarker检测结果及临床意义</w:t>
                      </w:r>
                    </w:p>
                    <w:p>
                      <w:pPr>
                        <w:spacing w:before="340" w:line="360" w:lineRule="auto"/>
                        <w:jc w:val="center"/>
                        <w:outlineLvl w:val="1"/>
                        <w:rPr>
                          <w:rFonts w:hAnsi="等线" w:cs="Arial"/>
                          <w:b/>
                          <w:bCs/>
                          <w:color w:val="00B0F0"/>
                          <w:sz w:val="30"/>
                          <w:szCs w:val="30"/>
                        </w:rPr>
                      </w:pPr>
                      <w:r>
                        <w:rPr>
                          <w:rFonts w:hint="eastAsia" w:hAnsi="等线" w:cs="Arial"/>
                          <w:b/>
                          <w:bCs/>
                          <w:color w:val="00B0F0"/>
                          <w:sz w:val="30"/>
                          <w:szCs w:val="30"/>
                        </w:rPr>
                        <w:t>疫治疗相关Biomarker检测结果及临床意义</w:t>
                      </w:r>
                    </w:p>
                    <w:p>
                      <w:pPr>
                        <w:jc w:val="center"/>
                        <w:rPr>
                          <w:color w:val="000000" w:themeColor="text1"/>
                          <w:sz w:val="30"/>
                          <w:szCs w:val="30"/>
                          <w14:textFill>
                            <w14:solidFill>
                              <w14:schemeClr w14:val="tx1"/>
                            </w14:solidFill>
                          </w14:textFill>
                        </w:rPr>
                      </w:pPr>
                    </w:p>
                  </w:txbxContent>
                </v:textbox>
              </v:shape>
            </w:pict>
          </mc:Fallback>
        </mc:AlternateContent>
      </w:r>
    </w:p>
    <w:p>
      <w:pPr>
        <w:adjustRightInd w:val="0"/>
        <w:snapToGrid w:val="0"/>
        <w:jc w:val="left"/>
        <w:outlineLvl w:val="1"/>
        <w:rPr>
          <w:rFonts w:hAnsi="等线" w:cs="Arial"/>
          <w:b/>
          <w:bCs/>
          <w:color w:val="00B0F0"/>
          <w:szCs w:val="28"/>
        </w:rPr>
      </w:pPr>
      <w:bookmarkStart w:id="51" w:name="免疫治疗相关biomarker"/>
      <w:bookmarkEnd w:id="51"/>
      <w:bookmarkStart w:id="52" w:name="_Toc89103152"/>
      <w:bookmarkStart w:id="53" w:name="_Toc81378420"/>
      <w:bookmarkStart w:id="54" w:name="_Ref80371472"/>
      <w:r>
        <mc:AlternateContent>
          <mc:Choice Requires="wpg">
            <w:drawing>
              <wp:anchor distT="0" distB="0" distL="114300" distR="114300" simplePos="0" relativeHeight="251669504" behindDoc="0" locked="0" layoutInCell="1" allowOverlap="1">
                <wp:simplePos x="0" y="0"/>
                <wp:positionH relativeFrom="column">
                  <wp:posOffset>5715</wp:posOffset>
                </wp:positionH>
                <wp:positionV relativeFrom="paragraph">
                  <wp:posOffset>-12065</wp:posOffset>
                </wp:positionV>
                <wp:extent cx="6294120" cy="388620"/>
                <wp:effectExtent l="0" t="10795" r="0" b="12065"/>
                <wp:wrapNone/>
                <wp:docPr id="1026" name="组合 62"/>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57" name="圆角矩形 57"/>
                        <wps:cNvSpPr/>
                        <wps:spPr>
                          <a:xfrm>
                            <a:off x="4368" y="292680"/>
                            <a:ext cx="6348" cy="612"/>
                          </a:xfrm>
                          <a:prstGeom prst="roundRect">
                            <a:avLst/>
                          </a:prstGeom>
                          <a:noFill/>
                          <a:ln w="22225">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0" name="直接连接符 60"/>
                        <wps:cNvCnPr>
                          <a:stCxn id="57" idx="1"/>
                        </wps:cNvCnPr>
                        <wps:spPr>
                          <a:xfrm flipH="1">
                            <a:off x="2592" y="292986"/>
                            <a:ext cx="1776" cy="0"/>
                          </a:xfrm>
                          <a:prstGeom prst="line">
                            <a:avLst/>
                          </a:prstGeom>
                          <a:ln w="28575">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61" name="直接连接符 61"/>
                        <wps:cNvCnPr/>
                        <wps:spPr>
                          <a:xfrm flipH="1">
                            <a:off x="10728" y="292962"/>
                            <a:ext cx="1776" cy="0"/>
                          </a:xfrm>
                          <a:prstGeom prst="line">
                            <a:avLst/>
                          </a:prstGeom>
                          <a:ln w="28575">
                            <a:solidFill>
                              <a:srgbClr val="00B05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0.45pt;margin-top:-0.95pt;height:30.6pt;width:495.6pt;z-index:251669504;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">
                <o:lock v:ext="edit" aspectratio="f"/>
                <v:roundrect id="_x0000_s1026" o:spid="_x0000_s1026" o:spt="2" style="position:absolute;left:4368;top:292680;height:612;width:6348;v-text-anchor:middle;" filled="f" stroked="t" coordsize="21600,21600" arcsize="0.166666666666667" o:gfxdata="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Nd9G8AAAA&#10;2wAAAA8AAAAAAAAAAQAgAAAAIgAAAGRycy9kb3ducmV2LnhtbFBLAQIUABQAAAAIAIdO4kAzLwWe&#10;OwAAADkAAAAQAAAAAAAAAAEAIAAAAAsBAABkcnMvc2hhcGV4bWwueG1sUEsFBgAAAAAGAAYAWwEA&#10;ALUDAAAAAA==&#10;">
                  <v:fill on="f" focussize="0,0"/>
                  <v:stroke weight="1.75pt" color="#00B050 [3204]" miterlimit="8" joinstyle="miter"/>
                  <v:imagedata o:title=""/>
                  <o:lock v:ext="edit" aspectratio="f"/>
                </v:roundrect>
                <v:line id="_x0000_s1026" o:spid="_x0000_s1026" o:spt="20" style="position:absolute;left:2592;top:292986;flip:x;height:0;width:1776;" filled="f" stroked="t" coordsize="21600,21600" o:gfxdata="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wcJXltwAAANsAAAAP&#10;AAAAAAAAAAEAIAAAACIAAABkcnMvZG93bnJldi54bWxQSwECFAAUAAAACACHTuJAMy8FnjsAAAA5&#10;AAAAEAAAAAAAAAABACAAAAAGAQAAZHJzL3NoYXBleG1sLnhtbFBLBQYAAAAABgAGAFsBAACwAwAA&#10;AAA=&#10;">
                  <v:fill on="f" focussize="0,0"/>
                  <v:stroke weight="2.25pt" color="#00B050 [3204]" miterlimit="8" joinstyle="miter"/>
                  <v:imagedata o:title=""/>
                  <o:lock v:ext="edit" aspectratio="f"/>
                </v:line>
                <v:line id="_x0000_s1026" o:spid="_x0000_s1026" o:spt="20" style="position:absolute;left:10728;top:292962;flip:x;height:0;width:1776;" filled="f" stroked="t" coordsize="21600,21600" o:gfxdata="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zwwfr4A&#10;AADbAAAADwAAAAAAAAABACAAAAAiAAAAZHJzL2Rvd25yZXYueG1sUEsBAhQAFAAAAAgAh07iQDMv&#10;BZ47AAAAOQAAABAAAAAAAAAAAQAgAAAADQEAAGRycy9zaGFwZXhtbC54bWxQSwUGAAAAAAYABgBb&#10;AQAAtwMAAAAA&#10;">
                  <v:fill on="f" focussize="0,0"/>
                  <v:stroke weight="2.25pt" color="#00B050 [3204]" miterlimit="8" joinstyle="miter"/>
                  <v:imagedata o:title=""/>
                  <o:lock v:ext="edit" aspectratio="f"/>
                </v:line>
              </v:group>
            </w:pict>
          </mc:Fallback>
        </mc:AlternateContent>
      </w:r>
      <w:bookmarkEnd w:id="52"/>
      <w:bookmarkEnd w:id="53"/>
      <w:bookmarkEnd w:id="54"/>
    </w:p>
    <w:p>
      <w:bookmarkStart w:id="55" w:name="_Toc89103153"/>
      <w:bookmarkStart w:id="56" w:name="_Toc45207820"/>
      <w:bookmarkStart w:id="57" w:name="_Toc45207819"/>
    </w:p>
    <w:p/>
    <w:bookmarkEnd w:id="55"/>
    <w:p>
      <w:pPr>
        <w:spacing w:line="360" w:lineRule="auto"/>
        <w:ind w:firstLine="560" w:firstLineChars="200"/>
        <w:jc w:val="left"/>
        <w:outlineLvl w:val="2"/>
        <w:rPr>
          <w:rFonts w:hAnsi="等线" w:cs="Arial"/>
          <w:b/>
          <w:bCs/>
          <w:color w:val="00B050"/>
          <w:sz w:val="28"/>
          <w:szCs w:val="28"/>
        </w:rPr>
      </w:pPr>
      <w:bookmarkStart w:id="58" w:name="TMB结果注释"/>
      <w:bookmarkEnd w:id="58"/>
      <w:bookmarkStart w:id="59" w:name="MSI结果注释"/>
      <w:bookmarkEnd w:id="59"/>
      <w:bookmarkStart w:id="60" w:name="_Toc89103154"/>
      <w:r>
        <w:rPr>
          <w:rFonts w:hint="eastAsia" w:hAnsi="等线" w:cs="Arial"/>
          <w:b/>
          <w:bCs/>
          <w:color w:val="0070C0"/>
          <w:sz w:val="28"/>
          <w:szCs w:val="28"/>
        </w:rPr>
        <w:drawing>
          <wp:anchor distT="0" distB="0" distL="114300" distR="114300" simplePos="0" relativeHeight="251673600" behindDoc="0" locked="0" layoutInCell="1" allowOverlap="1">
            <wp:simplePos x="0" y="0"/>
            <wp:positionH relativeFrom="column">
              <wp:posOffset>15240</wp:posOffset>
            </wp:positionH>
            <wp:positionV relativeFrom="paragraph">
              <wp:posOffset>52705</wp:posOffset>
            </wp:positionV>
            <wp:extent cx="274955" cy="277495"/>
            <wp:effectExtent l="0" t="0" r="14605" b="12065"/>
            <wp:wrapNone/>
            <wp:docPr id="1027" name="图片 44"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D:\解码\4x\资源 2@45.png资源 2@45"/>
                    <pic:cNvPicPr>
                      <a:picLocks noChangeAspect="1"/>
                    </pic:cNvPicPr>
                  </pic:nvPicPr>
                  <pic:blipFill>
                    <a:blip r:embed="rId14"/>
                    <a:srcRect/>
                    <a:stretch>
                      <a:fillRect/>
                    </a:stretch>
                  </pic:blipFill>
                  <pic:spPr>
                    <a:xfrm>
                      <a:off x="0" y="0"/>
                      <a:ext cx="274955" cy="277495"/>
                    </a:xfrm>
                    <a:prstGeom prst="rect">
                      <a:avLst/>
                    </a:prstGeom>
                  </pic:spPr>
                </pic:pic>
              </a:graphicData>
            </a:graphic>
          </wp:anchor>
        </w:drawing>
      </w:r>
      <w:r>
        <w:rPr>
          <w:rFonts w:hint="eastAsia" w:hAnsi="等线" w:cs="Arial"/>
          <w:b/>
          <w:bCs/>
          <w:color w:val="00B050"/>
          <w:sz w:val="28"/>
          <w:szCs w:val="28"/>
        </w:rPr>
        <w:t>微卫星不稳定性（MSI）解析</w:t>
      </w:r>
      <w:bookmarkEnd w:id="56"/>
      <w:bookmarkEnd w:id="60"/>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2464"/>
        <w:gridCol w:w="2463"/>
        <w:gridCol w:w="2464"/>
        <w:gridCol w:w="2464"/>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rPr>
        <w:tc>
          <w:tcPr>
            <w:tcW w:w="220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检测微卫星数目</w:t>
            </w:r>
          </w:p>
        </w:tc>
        <w:tc>
          <w:tcPr>
            <w:tcW w:w="220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微卫星不稳定性分值</w:t>
            </w:r>
          </w:p>
        </w:tc>
        <w:tc>
          <w:tcPr>
            <w:tcW w:w="2203"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参考阈值</w:t>
            </w:r>
          </w:p>
        </w:tc>
        <w:tc>
          <w:tcPr>
            <w:tcW w:w="2203" w:type="dxa"/>
            <w:tcBorders>
              <w:top w:val="single" w:color="FFFFFF" w:sz="24" w:space="0"/>
              <w:left w:val="single" w:color="FFFFFF" w:sz="24" w:space="0"/>
              <w:bottom w:val="single" w:color="FFFFFF" w:sz="24" w:space="0"/>
              <w:right w:val="single" w:color="FFFFFF" w:sz="24" w:space="0"/>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微卫星不稳定性评级</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220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bCs w:val="0"/>
                <w:sz w:val="20"/>
                <w:szCs w:val="20"/>
                <w:lang w:eastAsia="zh-CN"/>
              </w:rPr>
            </w:pPr>
            <w:r>
              <w:rPr>
                <w:rFonts w:hint="eastAsia" w:hAnsi="等线" w:cs="Arial"/>
                <w:b/>
                <w:bCs w:val="0"/>
                <w:sz w:val="20"/>
                <w:szCs w:val="20"/>
                <w:lang w:bidi="ar"/>
              </w:rPr>
              <w:t xml:space="preserve">13</w:t>
            </w:r>
          </w:p>
        </w:tc>
        <w:tc>
          <w:tcPr>
            <w:tcW w:w="220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 xml:space="preserve">0</w:t>
            </w:r>
          </w:p>
        </w:tc>
        <w:tc>
          <w:tcPr>
            <w:tcW w:w="220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0.</w:t>
            </w:r>
            <w:r>
              <w:rPr>
                <w:rFonts w:hint="eastAsia" w:hAnsi="等线" w:cs="Arial"/>
                <w:b/>
                <w:sz w:val="20"/>
                <w:szCs w:val="20"/>
                <w:lang w:val="en-US" w:eastAsia="zh-CN" w:bidi="ar"/>
              </w:rPr>
              <w:t>2</w:t>
            </w:r>
          </w:p>
        </w:tc>
        <w:tc>
          <w:tcPr>
            <w:tcW w:w="220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 xml:space="preserve">MSS</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6213" w:hRule="atLeast"/>
        </w:trPr>
        <w:tc>
          <w:tcPr>
            <w:tcW w:w="8810" w:type="dxa"/>
            <w:gridSpan w:val="4"/>
            <w:tcBorders>
              <w:top w:val="single" w:color="FFFFFF" w:sz="24" w:space="0"/>
              <w:left w:val="single" w:color="FFFFFF" w:sz="24" w:space="0"/>
              <w:bottom w:val="single" w:color="FFFFFF" w:sz="24" w:space="0"/>
              <w:right w:val="single" w:color="FFFFFF" w:sz="24" w:space="0"/>
            </w:tcBorders>
            <w:shd w:val="clear" w:color="auto" w:fill="F2F2F2"/>
            <w:vAlign w:val="top"/>
          </w:tcPr>
          <w:p>
            <w:pPr>
              <w:keepNext w:val="0"/>
              <w:keepLines w:val="0"/>
              <w:suppressLineNumbers w:val="0"/>
              <w:spacing w:before="156" w:beforeLines="50" w:beforeAutospacing="0" w:after="156" w:afterLines="50" w:afterAutospacing="0"/>
              <w:ind w:left="0" w:right="0"/>
              <w:rPr>
                <w:rFonts w:hint="default" w:hAnsi="等线" w:cs="Arial"/>
                <w:b w:val="0"/>
                <w:bCs/>
                <w:sz w:val="22"/>
              </w:rPr>
            </w:pPr>
            <w:r>
              <w:rPr>
                <w:rFonts w:hint="default" w:hAnsi="等线" w:cs="Arial"/>
                <w:b/>
                <w:bCs/>
                <w:sz w:val="22"/>
              </w:rPr>
              <w:t>潜在临床意义</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微卫星（microsatellite, MS）又称短串联重复序列（short tandem repeats, STR）、简单重复序列（simple sequence repeat, SSR），是指以1-6个碱基为重复单位，重复次数为5至50次甚至更多的DNA序列。微卫星不稳定性（microsatellite instability, MSI）是指在DNA复制的过程中，重复单元序列发生插入、缺失的现象。根据程度可分为</w:t>
            </w:r>
            <w:r>
              <w:rPr>
                <w:rFonts w:hint="default" w:hAnsi="等线" w:cs="等线"/>
                <w:b w:val="0"/>
                <w:bCs w:val="0"/>
                <w:sz w:val="18"/>
                <w:szCs w:val="18"/>
              </w:rPr>
              <w:t>3类：</w:t>
            </w:r>
            <w:r>
              <w:rPr>
                <w:rFonts w:hint="eastAsia" w:hAnsi="等线" w:cs="等线"/>
                <w:b w:val="0"/>
                <w:bCs w:val="0"/>
                <w:sz w:val="18"/>
                <w:szCs w:val="18"/>
              </w:rPr>
              <w:t>微卫星高度不稳定（MSI-H）、微卫星低度不稳定（MSI-L）和微卫星稳定（MSS），MSI-L和MSS常合并为MSS。</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MSI的发生机制为DNA复制过程中在微卫星区域发生滑链错配（</w:t>
            </w:r>
            <w:r>
              <w:rPr>
                <w:rFonts w:hint="default" w:hAnsi="等线" w:cs="等线"/>
                <w:b w:val="0"/>
                <w:bCs w:val="0"/>
                <w:sz w:val="18"/>
                <w:szCs w:val="18"/>
              </w:rPr>
              <w:t>slipped-strand mispairing）</w:t>
            </w:r>
            <w:r>
              <w:rPr>
                <w:rFonts w:hint="eastAsia" w:hAnsi="等线" w:cs="等线"/>
                <w:b w:val="0"/>
                <w:bCs w:val="0"/>
                <w:sz w:val="18"/>
                <w:szCs w:val="18"/>
              </w:rPr>
              <w:t>，导致复制链和模板链不一致，当错配修复机制（MMR）正常时，这些错配得以修正，当错配修复机制发生缺陷（dMMR）时，这些错配无法修正，将导致出现微卫星不稳定。</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本报告采用NGS方法检测MSI，在panel探针覆盖的所有MS位点中，当发生MSI突变的位点占比</w:t>
            </w:r>
            <w:r>
              <w:rPr>
                <w:rFonts w:hint="eastAsia" w:hAnsi="等线" w:cs="等线"/>
                <w:b w:val="0"/>
                <w:bCs w:val="0"/>
                <w:sz w:val="18"/>
                <w:szCs w:val="18"/>
                <w:lang w:val="en-US" w:eastAsia="zh-CN"/>
              </w:rPr>
              <w:t>＞2</w:t>
            </w:r>
            <w:r>
              <w:rPr>
                <w:rFonts w:hint="eastAsia" w:hAnsi="等线" w:cs="等线"/>
                <w:b w:val="0"/>
                <w:bCs w:val="0"/>
                <w:sz w:val="18"/>
                <w:szCs w:val="18"/>
              </w:rPr>
              <w:t>0</w:t>
            </w:r>
            <w:r>
              <w:rPr>
                <w:rFonts w:hint="eastAsia" w:hAnsi="等线" w:cs="等线"/>
                <w:b w:val="0"/>
                <w:bCs w:val="0"/>
                <w:sz w:val="18"/>
                <w:szCs w:val="18"/>
                <w:lang w:val="en-US" w:eastAsia="zh-CN"/>
              </w:rPr>
              <w:t>%</w:t>
            </w:r>
            <w:r>
              <w:rPr>
                <w:rFonts w:hint="eastAsia" w:hAnsi="等线" w:cs="等线"/>
                <w:b w:val="0"/>
                <w:bCs w:val="0"/>
                <w:sz w:val="18"/>
                <w:szCs w:val="18"/>
              </w:rPr>
              <w:t>时，样本为MSI-H，当MSI突变位点占比≤</w:t>
            </w:r>
            <w:r>
              <w:rPr>
                <w:rFonts w:hint="eastAsia" w:hAnsi="等线" w:cs="等线"/>
                <w:b w:val="0"/>
                <w:bCs w:val="0"/>
                <w:sz w:val="18"/>
                <w:szCs w:val="18"/>
                <w:lang w:val="en-US" w:eastAsia="zh-CN"/>
              </w:rPr>
              <w:t>2</w:t>
            </w:r>
            <w:r>
              <w:rPr>
                <w:rFonts w:hint="eastAsia" w:hAnsi="等线" w:cs="等线"/>
                <w:b w:val="0"/>
                <w:bCs w:val="0"/>
                <w:sz w:val="18"/>
                <w:szCs w:val="18"/>
              </w:rPr>
              <w:t>0%时，样本为MSS。</w:t>
            </w:r>
          </w:p>
          <w:p>
            <w:pPr>
              <w:keepNext w:val="0"/>
              <w:keepLines w:val="0"/>
              <w:widowControl/>
              <w:suppressLineNumbers w:val="0"/>
              <w:spacing w:before="0" w:beforeAutospacing="0" w:after="0" w:afterAutospacing="0" w:line="300" w:lineRule="auto"/>
              <w:ind w:left="0" w:leftChars="0" w:right="0" w:rightChars="0"/>
              <w:rPr>
                <w:rFonts w:hAnsi="等线"/>
                <w:b w:val="0"/>
                <w:bCs w:val="0"/>
              </w:rPr>
            </w:pPr>
            <w:r>
              <w:rPr>
                <w:rFonts w:hint="eastAsia" w:hAnsi="等线" w:cs="等线"/>
                <w:b w:val="0"/>
                <w:bCs w:val="0"/>
                <w:sz w:val="18"/>
                <w:szCs w:val="18"/>
              </w:rPr>
              <w:t>目前FDA批准PD-1抑制剂Pembrolizumab用于治疗MSI-H/dMMR型不可切除或转移性实体瘤，PD-1抑制剂Nivolumab单药或和ipilimumab联用，治疗经氟尿嘧啶、奥沙利铂、伊立替康治疗后疾病进展的MSI-H/dMMR型转移性结直肠癌。此外，N</w:t>
            </w:r>
            <w:r>
              <w:rPr>
                <w:rFonts w:hint="default" w:hAnsi="等线" w:cs="等线"/>
                <w:b w:val="0"/>
                <w:bCs w:val="0"/>
                <w:sz w:val="18"/>
                <w:szCs w:val="18"/>
              </w:rPr>
              <w:t>MPA</w:t>
            </w:r>
            <w:r>
              <w:rPr>
                <w:rFonts w:hint="eastAsia" w:hAnsi="等线" w:cs="等线"/>
                <w:b w:val="0"/>
                <w:bCs w:val="0"/>
                <w:sz w:val="18"/>
                <w:szCs w:val="18"/>
              </w:rPr>
              <w:t>批准PD-1抑制剂替雷利珠单抗用于治疗MSI-H/dMMR型不可切除或转移性成人晚期实体瘤，P</w:t>
            </w:r>
            <w:r>
              <w:rPr>
                <w:rFonts w:hint="default" w:hAnsi="等线" w:cs="等线"/>
                <w:b w:val="0"/>
                <w:bCs w:val="0"/>
                <w:sz w:val="18"/>
                <w:szCs w:val="18"/>
              </w:rPr>
              <w:t>D-L1</w:t>
            </w:r>
            <w:r>
              <w:rPr>
                <w:rFonts w:hint="eastAsia" w:hAnsi="等线" w:cs="等线"/>
                <w:b w:val="0"/>
                <w:bCs w:val="0"/>
                <w:sz w:val="18"/>
                <w:szCs w:val="18"/>
              </w:rPr>
              <w:t>抑制剂恩沃利单抗用于治疗MSI-H/dMMR型不可切除或转移性实体瘤，PD-1抑制剂斯鲁利单抗用于治疗MSI-H型不可切除或转移性成人晚期实体瘤，PD-1抑制剂普特利单抗用于治疗既往接受一线及以上系统治疗失败的MSI-H/dMMR型晚期实体瘤。</w:t>
            </w:r>
          </w:p>
        </w:tc>
      </w:tr>
    </w:tbl>
    <w:p>
      <w:pPr>
        <w:rPr>
          <w:rFonts w:hAnsi="等线"/>
        </w:rPr>
      </w:pPr>
    </w:p>
    <w:p>
      <w:pPr>
        <w:rPr>
          <w:rFonts w:hAnsi="等线"/>
        </w:rPr>
      </w:pPr>
    </w:p>
    <w:p>
      <w:pPr>
        <w:spacing w:after="156" w:afterLines="50"/>
        <w:rPr>
          <w:rFonts w:hAnsi="等线"/>
          <w:b/>
          <w:bCs/>
        </w:rPr>
      </w:pPr>
      <w:r>
        <w:rPr>
          <w:rFonts w:hint="eastAsia" w:hAnsi="等线"/>
          <w:b/>
          <w:bCs/>
        </w:rPr>
        <w:t>参考：</w:t>
      </w:r>
    </w:p>
    <w:p>
      <w:pPr>
        <w:rPr>
          <w:rFonts w:hAnsi="等线"/>
          <w:sz w:val="18"/>
          <w:szCs w:val="18"/>
        </w:rPr>
      </w:pPr>
      <w:r>
        <w:rPr>
          <w:rFonts w:hint="eastAsia" w:hAnsi="等线"/>
          <w:sz w:val="18"/>
          <w:szCs w:val="18"/>
        </w:rPr>
        <w:t>《</w:t>
      </w:r>
      <w:r>
        <w:rPr>
          <w:rFonts w:hAnsi="等线"/>
          <w:sz w:val="18"/>
          <w:szCs w:val="18"/>
        </w:rPr>
        <w:t>结直肠癌及其他相关实体瘤微卫星不稳定性检测中国专家共识</w:t>
      </w:r>
      <w:r>
        <w:rPr>
          <w:rFonts w:hint="eastAsia" w:hAnsi="等线"/>
          <w:sz w:val="18"/>
          <w:szCs w:val="18"/>
        </w:rPr>
        <w:t>》</w:t>
      </w:r>
    </w:p>
    <w:p>
      <w:pPr>
        <w:rPr>
          <w:rFonts w:hAnsi="等线"/>
          <w:szCs w:val="21"/>
        </w:rPr>
      </w:pPr>
      <w:r>
        <w:rPr>
          <w:rFonts w:hAnsi="等线"/>
          <w:szCs w:val="21"/>
        </w:rPr>
        <w:br w:type="page"/>
      </w:r>
    </w:p>
    <w:p>
      <w:pPr>
        <w:spacing w:line="360" w:lineRule="auto"/>
        <w:ind w:firstLine="560" w:firstLineChars="200"/>
        <w:jc w:val="left"/>
        <w:outlineLvl w:val="2"/>
        <w:rPr>
          <w:rFonts w:hAnsi="等线" w:cs="Arial"/>
          <w:b/>
          <w:bCs/>
          <w:color w:val="00B050"/>
          <w:sz w:val="28"/>
          <w:szCs w:val="28"/>
        </w:rPr>
      </w:pPr>
      <w:bookmarkStart w:id="61" w:name="MMR检测结果"/>
      <w:bookmarkEnd w:id="61"/>
      <w:bookmarkStart w:id="62" w:name="_Toc89103155"/>
      <w:r>
        <w:rPr>
          <w:rFonts w:hint="eastAsia" w:hAnsi="等线" w:cs="Arial"/>
          <w:b/>
          <w:bCs/>
          <w:color w:val="0070C0"/>
          <w:sz w:val="28"/>
          <w:szCs w:val="28"/>
        </w:rPr>
        <w:drawing>
          <wp:anchor distT="0" distB="0" distL="114300" distR="114300" simplePos="0" relativeHeight="251674624" behindDoc="0" locked="0" layoutInCell="1" allowOverlap="1">
            <wp:simplePos x="0" y="0"/>
            <wp:positionH relativeFrom="column">
              <wp:posOffset>30480</wp:posOffset>
            </wp:positionH>
            <wp:positionV relativeFrom="paragraph">
              <wp:posOffset>53340</wp:posOffset>
            </wp:positionV>
            <wp:extent cx="275590" cy="277495"/>
            <wp:effectExtent l="0" t="0" r="13970" b="12065"/>
            <wp:wrapNone/>
            <wp:docPr id="1028" name="图片 47"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D:\解码\4x\资源 2@45.png资源 2@45"/>
                    <pic:cNvPicPr>
                      <a:picLocks noChangeAspect="1"/>
                    </pic:cNvPicPr>
                  </pic:nvPicPr>
                  <pic:blipFill>
                    <a:blip r:embed="rId14"/>
                    <a:srcRect/>
                    <a:stretch>
                      <a:fillRect/>
                    </a:stretch>
                  </pic:blipFill>
                  <pic:spPr>
                    <a:xfrm>
                      <a:off x="0" y="0"/>
                      <a:ext cx="275590" cy="277495"/>
                    </a:xfrm>
                    <a:prstGeom prst="rect">
                      <a:avLst/>
                    </a:prstGeom>
                  </pic:spPr>
                </pic:pic>
              </a:graphicData>
            </a:graphic>
          </wp:anchor>
        </w:drawing>
      </w:r>
      <w:r>
        <w:rPr>
          <w:rFonts w:hint="eastAsia" w:hAnsi="等线" w:cs="Arial"/>
          <w:b/>
          <w:bCs/>
          <w:color w:val="00B050"/>
          <w:sz w:val="28"/>
          <w:szCs w:val="28"/>
        </w:rPr>
        <w:t>错配修复系统（M</w:t>
      </w:r>
      <w:r>
        <w:rPr>
          <w:rFonts w:hAnsi="等线" w:cs="Arial"/>
          <w:b/>
          <w:bCs/>
          <w:color w:val="00B050"/>
          <w:sz w:val="28"/>
          <w:szCs w:val="28"/>
        </w:rPr>
        <w:t>MR</w:t>
      </w:r>
      <w:r>
        <w:rPr>
          <w:rFonts w:hint="eastAsia" w:hAnsi="等线" w:cs="Arial"/>
          <w:b/>
          <w:bCs/>
          <w:color w:val="00B050"/>
          <w:sz w:val="28"/>
          <w:szCs w:val="28"/>
        </w:rPr>
        <w:t>）检测结果</w:t>
      </w:r>
      <w:bookmarkEnd w:id="62"/>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212"/>
        <w:gridCol w:w="1587"/>
        <w:gridCol w:w="1417"/>
        <w:gridCol w:w="1420"/>
        <w:gridCol w:w="1402"/>
        <w:gridCol w:w="1265"/>
        <w:gridCol w:w="1552"/>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blHeader/>
        </w:trPr>
        <w:tc>
          <w:tcPr>
            <w:tcW w:w="121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587"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417"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420"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401"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264"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int="default" w:hAnsi="等线" w:eastAsia="等线" w:cs="Arial"/>
                <w:b/>
                <w:bCs/>
                <w:color w:val="FFFFFF"/>
                <w:szCs w:val="21"/>
                <w:lang w:val="en-US" w:eastAsia="zh-CN"/>
              </w:rPr>
            </w:pPr>
            <w:r>
              <w:rPr>
                <w:rFonts w:hint="eastAsia" w:hAnsi="等线" w:cs="Arial"/>
                <w:b/>
                <w:bCs/>
                <w:color w:val="FFFFFF"/>
                <w:szCs w:val="21"/>
                <w:lang w:val="en-US" w:eastAsia="zh-CN"/>
              </w:rPr>
              <w:t>基因型</w:t>
            </w:r>
          </w:p>
        </w:tc>
        <w:tc>
          <w:tcPr>
            <w:tcW w:w="1551" w:type="dxa"/>
            <w:tcBorders>
              <w:top w:val="single" w:color="FFFFFF" w:sz="24" w:space="0"/>
              <w:left w:val="single" w:color="FFFFFF" w:sz="24" w:space="0"/>
              <w:bottom w:val="single" w:color="FFFFFF" w:sz="24" w:space="0"/>
              <w:right w:val="single" w:color="FFFFFF" w:sz="24" w:space="0"/>
              <w:insideV w:val="nil"/>
            </w:tcBorders>
            <w:shd w:val="clear" w:color="auto" w:fill="00B050"/>
            <w:vAlign w:val="center"/>
          </w:tcPr>
          <w:p>
            <w:pPr>
              <w:widowControl/>
              <w:spacing w:line="360" w:lineRule="auto"/>
              <w:jc w:val="center"/>
              <w:rPr>
                <w:rFonts w:hAnsi="等线" w:cs="Arial"/>
                <w:b/>
                <w:bCs/>
                <w:color w:val="FFFFFF"/>
                <w:szCs w:val="21"/>
              </w:rPr>
            </w:pPr>
            <w:r>
              <w:rPr>
                <w:rFonts w:hint="eastAsia" w:hAnsi="等线" w:cs="Arial"/>
                <w:b/>
                <w:bCs/>
                <w:color w:val="FFFFFF"/>
                <w:szCs w:val="21"/>
              </w:rPr>
              <w:t xml:space="preserve">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1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b w:val="0"/>
                <w:bCs w:val="0"/>
                <w:color w:val="000000"/>
                <w:sz w:val="20"/>
                <w:szCs w:val="20"/>
                <w:lang w:eastAsia="zh-CN"/>
                <w14:textFill>
                  <w14:solidFill>
                    <w14:srgbClr w14:val="000000">
                      <w14:lumMod w14:val="75000"/>
                      <w14:lumOff w14:val="25000"/>
                    </w14:srgbClr>
                  </w14:solidFill>
                </w14:textFill>
              </w:rPr>
            </w:pPr>
            <w:r>
              <w:rPr>
                <w:rFonts w:hint="eastAsia" w:hAnsi="等线" w:cs="宋体"/>
                <w:b/>
                <w:bCs/>
                <w:color w:val="404040"/>
                <w:sz w:val="20"/>
                <w:szCs w:val="20"/>
                <w:lang w:bidi="ar"/>
              </w:rPr>
              <w:t xml:space="preserve">MSH2</w:t>
            </w:r>
          </w:p>
        </w:tc>
        <w:tc>
          <w:tcPr>
            <w:tcW w:w="1587" w:type="dxa"/>
            <w:tcBorders>
              <w:top w:val="single" w:color="FFFFFF" w:sz="24" w:space="0"/>
              <w:left w:val="single" w:color="FFFFFF" w:sz="24" w:space="0"/>
              <w:bottom w:val="single" w:color="FFFFFF" w:sz="24" w:space="0"/>
              <w:right w:val="single" w:color="FFFFFF" w:sz="24" w:space="0"/>
            </w:tcBorders>
            <w:shd w:val="clear" w:color="auto" w:fill="F2F2F2"/>
            <w:textDirection w:val="lrTbV"/>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 xml:space="preserve">NM_000251</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 xml:space="preserve">c.2425G&gt;A</w:t>
            </w:r>
          </w:p>
        </w:tc>
        <w:tc>
          <w:tcPr>
            <w:tcW w:w="1420"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 xml:space="preserve">c.2425G&gt;A</w:t>
            </w:r>
          </w:p>
        </w:tc>
        <w:tc>
          <w:tcPr>
            <w:tcW w:w="140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 xml:space="preserve">错义突变</w:t>
            </w:r>
          </w:p>
        </w:tc>
        <w:tc>
          <w:tcPr>
            <w:tcW w:w="126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 xml:space="preserve">51.85%</w:t>
            </w:r>
          </w:p>
        </w:tc>
        <w:tc>
          <w:tcPr>
            <w:tcW w:w="155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宋体"/>
                <w:color w:val="000000"/>
                <w:sz w:val="20"/>
                <w:szCs w:val="20"/>
                <w:lang w:eastAsia="zh-CN"/>
                <w14:textFill>
                  <w14:solidFill>
                    <w14:srgbClr w14:val="000000">
                      <w14:lumMod w14:val="75000"/>
                      <w14:lumOff w14:val="25000"/>
                    </w14:srgbClr>
                  </w14:solidFill>
                </w14:textFill>
              </w:rPr>
            </w:pPr>
            <w:r>
              <w:rPr>
                <w:rFonts w:hint="eastAsia" w:hAnsi="等线" w:cs="宋体"/>
                <w:color w:val="404040"/>
                <w:sz w:val="20"/>
                <w:szCs w:val="20"/>
                <w:lang w:bidi="ar"/>
              </w:rPr>
              <w:t xml:space="preserve">意义未明突变</w:t>
            </w:r>
          </w:p>
        </w:tc>
      </w:tr>
    </w:tbl>
    <w:p/>
    <w:p>
      <w:pPr>
        <w:rPr>
          <w:rFonts w:hAnsi="等线"/>
          <w:szCs w:val="21"/>
        </w:rPr>
      </w:pPr>
    </w:p>
    <w:p>
      <w:pPr>
        <w:snapToGrid w:val="0"/>
        <w:spacing w:after="156" w:afterLines="50"/>
        <w:jc w:val="left"/>
        <w:rPr>
          <w:rFonts w:hAnsi="等线"/>
          <w:b/>
          <w:bCs/>
          <w:szCs w:val="21"/>
        </w:rPr>
      </w:pPr>
      <w:r>
        <w:rPr>
          <w:rFonts w:hint="eastAsia" w:hAnsi="等线"/>
          <w:b/>
          <w:bCs/>
          <w:szCs w:val="21"/>
        </w:rPr>
        <w:t>说明：</w:t>
      </w:r>
    </w:p>
    <w:p>
      <w:pPr>
        <w:pStyle w:val="38"/>
        <w:numPr>
          <w:ilvl w:val="0"/>
          <w:numId w:val="3"/>
        </w:numPr>
        <w:spacing w:line="300" w:lineRule="auto"/>
        <w:ind w:firstLineChars="0"/>
        <w:rPr>
          <w:rFonts w:hAnsi="等线"/>
          <w:sz w:val="18"/>
          <w:szCs w:val="18"/>
        </w:rPr>
      </w:pPr>
      <w:r>
        <w:rPr>
          <w:rFonts w:hint="eastAsia" w:hAnsi="等线"/>
          <w:sz w:val="18"/>
          <w:szCs w:val="18"/>
        </w:rPr>
        <w:t>对</w:t>
      </w:r>
      <w:r>
        <w:rPr>
          <w:rFonts w:hAnsi="等线"/>
          <w:sz w:val="18"/>
          <w:szCs w:val="18"/>
        </w:rPr>
        <w:t>MMR基因突变的临床意义判读来源于ClinVar数据库注释结果，并参考国际癌症研究机构（International Agency for Research on Cancer, IARC）的基因变异临床意义分类及标准，</w:t>
      </w:r>
      <w:r>
        <w:rPr>
          <w:rFonts w:hint="eastAsia" w:hAnsi="等线"/>
          <w:sz w:val="18"/>
          <w:szCs w:val="18"/>
        </w:rPr>
        <w:t>本检测报导以下几种类型的基因</w:t>
      </w:r>
      <w:r>
        <w:rPr>
          <w:rFonts w:hAnsi="等线"/>
          <w:sz w:val="18"/>
          <w:szCs w:val="18"/>
        </w:rPr>
        <w:t>突变：</w:t>
      </w:r>
    </w:p>
    <w:p>
      <w:pPr>
        <w:pStyle w:val="38"/>
        <w:numPr>
          <w:ilvl w:val="1"/>
          <w:numId w:val="3"/>
        </w:numPr>
        <w:spacing w:line="300" w:lineRule="auto"/>
        <w:ind w:firstLineChars="0"/>
        <w:rPr>
          <w:rFonts w:hAnsi="等线"/>
          <w:sz w:val="18"/>
          <w:szCs w:val="18"/>
        </w:rPr>
      </w:pPr>
      <w:r>
        <w:rPr>
          <w:rFonts w:hint="eastAsia" w:hAnsi="等线"/>
          <w:sz w:val="18"/>
          <w:szCs w:val="18"/>
        </w:rPr>
        <w:t>致病突变：已证实能使癌症风险显著提高的突变；</w:t>
      </w:r>
    </w:p>
    <w:p>
      <w:pPr>
        <w:pStyle w:val="38"/>
        <w:numPr>
          <w:ilvl w:val="1"/>
          <w:numId w:val="3"/>
        </w:numPr>
        <w:spacing w:line="300" w:lineRule="auto"/>
        <w:ind w:firstLineChars="0"/>
        <w:rPr>
          <w:rFonts w:hAnsi="等线"/>
          <w:sz w:val="18"/>
          <w:szCs w:val="18"/>
        </w:rPr>
      </w:pPr>
      <w:r>
        <w:rPr>
          <w:rFonts w:hint="eastAsia" w:hAnsi="等线"/>
          <w:sz w:val="18"/>
          <w:szCs w:val="18"/>
        </w:rPr>
        <w:t>疑似致病突变：没有明确证据，当前认为该突变有害；</w:t>
      </w:r>
    </w:p>
    <w:p>
      <w:pPr>
        <w:pStyle w:val="38"/>
        <w:numPr>
          <w:ilvl w:val="1"/>
          <w:numId w:val="3"/>
        </w:numPr>
        <w:spacing w:line="300" w:lineRule="auto"/>
        <w:ind w:firstLineChars="0"/>
        <w:rPr>
          <w:rFonts w:hAnsi="等线"/>
          <w:sz w:val="18"/>
          <w:szCs w:val="18"/>
        </w:rPr>
      </w:pPr>
      <w:r>
        <w:rPr>
          <w:rFonts w:hint="eastAsia" w:hAnsi="等线"/>
          <w:sz w:val="18"/>
          <w:szCs w:val="18"/>
        </w:rPr>
        <w:t>意义未明突变：不确定该突变是有害还是无影响；</w:t>
      </w:r>
    </w:p>
    <w:p>
      <w:pPr>
        <w:pStyle w:val="38"/>
        <w:numPr>
          <w:ilvl w:val="0"/>
          <w:numId w:val="3"/>
        </w:numPr>
        <w:spacing w:line="300" w:lineRule="auto"/>
        <w:ind w:firstLineChars="0"/>
        <w:rPr>
          <w:rFonts w:hAnsi="等线"/>
          <w:color w:val="000000"/>
          <w:sz w:val="18"/>
          <w:szCs w:val="18"/>
        </w:rPr>
      </w:pPr>
      <w:r>
        <w:rPr>
          <w:rFonts w:hAnsi="等线"/>
          <w:color w:val="000000"/>
          <w:sz w:val="18"/>
          <w:szCs w:val="18"/>
        </w:rPr>
        <w:t>DNA错配修复（MMR）是DNA损伤</w:t>
      </w:r>
      <w:r>
        <w:rPr>
          <w:rFonts w:hint="eastAsia" w:hAnsi="等线"/>
          <w:color w:val="000000"/>
          <w:sz w:val="18"/>
          <w:szCs w:val="18"/>
        </w:rPr>
        <w:t>修复</w:t>
      </w:r>
      <w:r>
        <w:rPr>
          <w:rFonts w:hAnsi="等线"/>
          <w:color w:val="000000"/>
          <w:sz w:val="18"/>
          <w:szCs w:val="18"/>
        </w:rPr>
        <w:t>（DDR）的组成部分。参与MMR的基因主要包括MSH2，MSH6，MLH1，PMS2，EPCAM。MMR基因突变将导致Lynch综合征（Lynch Syndrome, LS）。一项研究招募了12种肿瘤的85名含错配修复缺陷（dMMR）的肿瘤患者，使用PD-1抗体Pembrolizumab</w:t>
      </w:r>
      <w:r>
        <w:rPr>
          <w:rFonts w:hint="eastAsia" w:hAnsi="等线"/>
          <w:color w:val="000000"/>
          <w:sz w:val="18"/>
          <w:szCs w:val="18"/>
        </w:rPr>
        <w:t>治疗后，其客观影像学缓解率为</w:t>
      </w:r>
      <w:r>
        <w:rPr>
          <w:rFonts w:hAnsi="等线"/>
          <w:color w:val="000000"/>
          <w:sz w:val="18"/>
          <w:szCs w:val="18"/>
        </w:rPr>
        <w:t>53%，其中21%</w:t>
      </w:r>
      <w:r>
        <w:rPr>
          <w:rFonts w:hint="eastAsia" w:hAnsi="等线"/>
          <w:color w:val="000000"/>
          <w:sz w:val="18"/>
          <w:szCs w:val="18"/>
        </w:rPr>
        <w:t>达到完全缓解（</w:t>
      </w:r>
      <w:r>
        <w:rPr>
          <w:rFonts w:hAnsi="等线"/>
          <w:color w:val="000000"/>
          <w:sz w:val="18"/>
          <w:szCs w:val="18"/>
        </w:rPr>
        <w:t xml:space="preserve">PMID: </w:t>
      </w:r>
      <w:r>
        <w:fldChar w:fldCharType="begin"/>
      </w:r>
      <w:r>
        <w:instrText xml:space="preserve"> HYPERLINK "https://www.ncbi.nlm.nih.gov/pubmed/28596308" </w:instrText>
      </w:r>
      <w:r>
        <w:fldChar w:fldCharType="separate"/>
      </w:r>
      <w:r>
        <w:rPr>
          <w:rFonts w:hAnsi="等线"/>
          <w:color w:val="000000"/>
          <w:sz w:val="18"/>
          <w:szCs w:val="18"/>
        </w:rPr>
        <w:t>28596308</w:t>
      </w:r>
      <w:r>
        <w:rPr>
          <w:rFonts w:hAnsi="等线"/>
          <w:color w:val="000000"/>
          <w:sz w:val="18"/>
          <w:szCs w:val="18"/>
        </w:rPr>
        <w:fldChar w:fldCharType="end"/>
      </w:r>
      <w:r>
        <w:rPr>
          <w:rFonts w:hint="eastAsia" w:hAnsi="等线"/>
          <w:color w:val="000000"/>
          <w:sz w:val="18"/>
          <w:szCs w:val="18"/>
        </w:rPr>
        <w:t>）。在结直肠癌患者中，使用</w:t>
      </w:r>
      <w:r>
        <w:rPr>
          <w:rFonts w:hAnsi="等线"/>
          <w:color w:val="000000"/>
          <w:sz w:val="18"/>
          <w:szCs w:val="18"/>
        </w:rPr>
        <w:t>Pembrolizumab</w:t>
      </w:r>
      <w:r>
        <w:rPr>
          <w:rFonts w:hint="eastAsia" w:hAnsi="等线"/>
          <w:color w:val="000000"/>
          <w:sz w:val="18"/>
          <w:szCs w:val="18"/>
        </w:rPr>
        <w:t>单抗治疗后，</w:t>
      </w:r>
      <w:r>
        <w:rPr>
          <w:rFonts w:hAnsi="等线"/>
          <w:color w:val="000000"/>
          <w:sz w:val="18"/>
          <w:szCs w:val="18"/>
        </w:rPr>
        <w:t>dMMR患者的客观缓解率和PFS rate分别为40% (4/10)和78% (7/9)，非dMMR患者的客观缓解率和PFS rate分别为0% (0/18)和11% (2/18)（PMID: 26028255）</w:t>
      </w:r>
      <w:r>
        <w:rPr>
          <w:rFonts w:hint="eastAsia" w:hAnsi="等线"/>
          <w:color w:val="000000"/>
          <w:sz w:val="18"/>
          <w:szCs w:val="18"/>
        </w:rPr>
        <w:t>。</w:t>
      </w:r>
    </w:p>
    <w:p>
      <w:pPr>
        <w:rPr>
          <w:rFonts w:hAnsi="等线"/>
          <w:szCs w:val="21"/>
        </w:rPr>
      </w:pPr>
      <w:r>
        <w:rPr>
          <w:rFonts w:hAnsi="等线"/>
          <w:szCs w:val="21"/>
        </w:rPr>
        <w:br w:type="page"/>
      </w:r>
    </w:p>
    <w:p>
      <w:pPr>
        <w:spacing w:line="360" w:lineRule="auto"/>
        <w:ind w:firstLine="560" w:firstLineChars="200"/>
        <w:jc w:val="left"/>
        <w:outlineLvl w:val="2"/>
        <w:rPr>
          <w:rFonts w:hAnsi="等线" w:cs="Arial"/>
          <w:b/>
          <w:bCs/>
          <w:color w:val="00B050"/>
          <w:sz w:val="28"/>
          <w:szCs w:val="28"/>
        </w:rPr>
      </w:pPr>
      <w:bookmarkStart w:id="63" w:name="正向预测"/>
      <w:bookmarkEnd w:id="63"/>
      <w:bookmarkStart w:id="64" w:name="HLA分型结果"/>
      <w:bookmarkEnd w:id="64"/>
      <w:bookmarkStart w:id="65" w:name="抗原负荷TNB检测结果"/>
      <w:bookmarkEnd w:id="65"/>
      <w:r>
        <w:rPr>
          <w:rFonts w:hint="eastAsia" w:hAnsi="等线" w:cs="Arial"/>
          <w:b/>
          <w:bCs/>
          <w:color w:val="00B050"/>
          <w:sz w:val="28"/>
          <w:szCs w:val="28"/>
        </w:rPr>
        <w:drawing>
          <wp:anchor distT="0" distB="0" distL="114300" distR="114300" simplePos="0" relativeHeight="251691008" behindDoc="0" locked="0" layoutInCell="1" allowOverlap="1">
            <wp:simplePos x="0" y="0"/>
            <wp:positionH relativeFrom="column">
              <wp:posOffset>24765</wp:posOffset>
            </wp:positionH>
            <wp:positionV relativeFrom="paragraph">
              <wp:posOffset>67945</wp:posOffset>
            </wp:positionV>
            <wp:extent cx="274955" cy="277495"/>
            <wp:effectExtent l="0" t="0" r="4445" b="1905"/>
            <wp:wrapNone/>
            <wp:docPr id="1029" name="图片 54" descr="D:\解码\4x\资源 2@45.png资源 2@45"/>
            <wp:cNvGraphicFramePr/>
            <a:graphic xmlns:a="http://schemas.openxmlformats.org/drawingml/2006/main">
              <a:graphicData uri="http://schemas.openxmlformats.org/drawingml/2006/picture">
                <pic:pic xmlns:pic="http://schemas.openxmlformats.org/drawingml/2006/picture">
                  <pic:nvPicPr>
                    <pic:cNvPr id="54" name="图片 54" descr="D:\解码\4x\资源 2@45.png资源 2@45"/>
                    <pic:cNvPicPr/>
                  </pic:nvPicPr>
                  <pic:blipFill>
                    <a:blip r:embed="rId14"/>
                    <a:srcRect/>
                    <a:stretch>
                      <a:fillRect/>
                    </a:stretch>
                  </pic:blipFill>
                  <pic:spPr>
                    <a:xfrm>
                      <a:off x="0" y="0"/>
                      <a:ext cx="274955" cy="277495"/>
                    </a:xfrm>
                    <a:prstGeom prst="rect">
                      <a:avLst/>
                    </a:prstGeom>
                  </pic:spPr>
                </pic:pic>
              </a:graphicData>
            </a:graphic>
          </wp:anchor>
        </w:drawing>
      </w:r>
      <w:r>
        <w:rPr>
          <w:rFonts w:hint="eastAsia" w:hAnsi="等线" w:cs="Arial"/>
          <w:b/>
          <w:bCs/>
          <w:color w:val="00B050"/>
          <w:sz w:val="28"/>
          <w:szCs w:val="28"/>
        </w:rPr>
        <w:t>目前FDA/NMPA批准的免疫抑制剂</w:t>
      </w:r>
    </w:p>
    <w:tbl>
      <w:tblPr>
        <w:tblStyle w:val="58"/>
        <w:tblW w:w="5000" w:type="pct"/>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900"/>
        <w:gridCol w:w="1429"/>
        <w:gridCol w:w="1520"/>
        <w:gridCol w:w="5006"/>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624" w:hRule="atLeast"/>
          <w:tblHeader/>
        </w:trPr>
        <w:tc>
          <w:tcPr>
            <w:tcW w:w="1900" w:type="dxa"/>
            <w:tcBorders>
              <w:insideV w:val="nil"/>
              <w:tl2br w:val="nil"/>
              <w:tr2bl w:val="nil"/>
            </w:tcBorders>
            <w:shd w:val="clear" w:color="auto" w:fill="00B050"/>
            <w:noWrap/>
            <w:vAlign w:val="center"/>
          </w:tcPr>
          <w:p>
            <w:pPr>
              <w:spacing w:line="360" w:lineRule="auto"/>
              <w:jc w:val="center"/>
              <w:rPr>
                <w:rFonts w:hAnsi="等线"/>
                <w:b/>
                <w:bCs/>
                <w:color w:val="FFFFFF"/>
                <w:szCs w:val="21"/>
              </w:rPr>
            </w:pPr>
            <w:r>
              <w:rPr>
                <w:rFonts w:hint="eastAsia" w:hAnsi="等线"/>
                <w:b/>
                <w:bCs/>
                <w:color w:val="FFFFFF"/>
                <w:szCs w:val="21"/>
              </w:rPr>
              <w:t>药物名称</w:t>
            </w:r>
          </w:p>
        </w:tc>
        <w:tc>
          <w:tcPr>
            <w:tcW w:w="1429" w:type="dxa"/>
            <w:tcBorders>
              <w:insideV w:val="nil"/>
              <w:tl2br w:val="nil"/>
              <w:tr2bl w:val="nil"/>
            </w:tcBorders>
            <w:shd w:val="clear" w:color="auto" w:fill="00B050"/>
            <w:vAlign w:val="center"/>
          </w:tcPr>
          <w:p>
            <w:pPr>
              <w:spacing w:line="360" w:lineRule="auto"/>
              <w:jc w:val="center"/>
              <w:rPr>
                <w:rFonts w:hAnsi="等线"/>
                <w:b/>
                <w:bCs/>
                <w:color w:val="FFFFFF"/>
                <w:szCs w:val="21"/>
              </w:rPr>
            </w:pPr>
            <w:r>
              <w:rPr>
                <w:rFonts w:hint="eastAsia" w:hAnsi="等线"/>
                <w:b/>
                <w:bCs/>
                <w:color w:val="FFFFFF"/>
                <w:szCs w:val="21"/>
              </w:rPr>
              <w:t>商品名</w:t>
            </w:r>
          </w:p>
        </w:tc>
        <w:tc>
          <w:tcPr>
            <w:tcW w:w="1520" w:type="dxa"/>
            <w:tcBorders>
              <w:insideV w:val="nil"/>
              <w:tl2br w:val="nil"/>
              <w:tr2bl w:val="nil"/>
            </w:tcBorders>
            <w:shd w:val="clear" w:color="auto" w:fill="00B050"/>
            <w:vAlign w:val="center"/>
          </w:tcPr>
          <w:p>
            <w:pPr>
              <w:spacing w:line="360" w:lineRule="auto"/>
              <w:jc w:val="center"/>
              <w:rPr>
                <w:rFonts w:hint="default" w:hAnsi="等线" w:eastAsia="等线"/>
                <w:b/>
                <w:bCs/>
                <w:color w:val="FFFFFF"/>
                <w:szCs w:val="21"/>
                <w:lang w:val="en-US" w:eastAsia="zh-CN"/>
              </w:rPr>
            </w:pPr>
            <w:r>
              <w:rPr>
                <w:rFonts w:hint="eastAsia" w:hAnsi="等线"/>
                <w:b/>
                <w:bCs/>
                <w:color w:val="FFFFFF"/>
                <w:szCs w:val="21"/>
                <w:lang w:val="en-US" w:eastAsia="zh-CN"/>
              </w:rPr>
              <w:t>国内是否上市</w:t>
            </w:r>
          </w:p>
        </w:tc>
        <w:tc>
          <w:tcPr>
            <w:tcW w:w="5006" w:type="dxa"/>
            <w:tcBorders>
              <w:insideV w:val="nil"/>
              <w:tl2br w:val="nil"/>
              <w:tr2bl w:val="nil"/>
            </w:tcBorders>
            <w:shd w:val="clear" w:color="auto" w:fill="00B050"/>
            <w:noWrap/>
            <w:vAlign w:val="center"/>
          </w:tcPr>
          <w:p>
            <w:pPr>
              <w:spacing w:line="360" w:lineRule="auto"/>
              <w:jc w:val="center"/>
              <w:rPr>
                <w:rFonts w:hAnsi="等线"/>
                <w:b/>
                <w:bCs/>
                <w:color w:val="FFFFFF"/>
                <w:szCs w:val="21"/>
              </w:rPr>
            </w:pPr>
            <w:r>
              <w:rPr>
                <w:rFonts w:hint="eastAsia" w:hAnsi="等线"/>
                <w:b/>
                <w:bCs/>
                <w:color w:val="FFFFFF"/>
                <w:szCs w:val="21"/>
              </w:rPr>
              <w:t>获批癌种</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I</w:t>
            </w:r>
            <w:r>
              <w:rPr>
                <w:rFonts w:hint="eastAsia" w:hAnsi="等线"/>
                <w:b w:val="0"/>
                <w:bCs w:val="0"/>
                <w:color w:val="000000"/>
                <w:sz w:val="20"/>
                <w:szCs w:val="20"/>
              </w:rPr>
              <w:t>pilimumab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伊匹木单抗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Y</w:t>
            </w:r>
            <w:r>
              <w:rPr>
                <w:rFonts w:hAnsi="等线"/>
                <w:color w:val="000000"/>
                <w:sz w:val="20"/>
                <w:szCs w:val="20"/>
              </w:rPr>
              <w:t>ervoy</w:t>
            </w:r>
          </w:p>
          <w:p>
            <w:pPr>
              <w:spacing w:before="78" w:beforeLines="25" w:after="78" w:afterLines="25"/>
              <w:jc w:val="center"/>
              <w:rPr>
                <w:rFonts w:hAnsi="等线"/>
                <w:color w:val="000000"/>
                <w:sz w:val="20"/>
                <w:szCs w:val="20"/>
              </w:rPr>
            </w:pPr>
            <w:r>
              <w:rPr>
                <w:rFonts w:hint="eastAsia" w:hAnsi="等线"/>
                <w:color w:val="000000"/>
                <w:sz w:val="20"/>
                <w:szCs w:val="20"/>
              </w:rPr>
              <w:t>逸沃</w:t>
            </w:r>
          </w:p>
        </w:tc>
        <w:tc>
          <w:tcPr>
            <w:tcW w:w="1520" w:type="dxa"/>
            <w:tcBorders>
              <w:tl2br w:val="nil"/>
              <w:tr2bl w:val="nil"/>
            </w:tcBorders>
            <w:shd w:val="clear" w:color="auto" w:fill="F8F8F8"/>
            <w:vAlign w:val="center"/>
          </w:tcPr>
          <w:p>
            <w:pPr>
              <w:spacing w:before="78" w:beforeLines="25" w:after="78" w:afterLines="25"/>
              <w:jc w:val="center"/>
              <w:rPr>
                <w:rFonts w:hint="eastAsia" w:hAnsi="等线" w:eastAsia="等线"/>
                <w:color w:val="000000"/>
                <w:sz w:val="20"/>
                <w:szCs w:val="20"/>
                <w:lang w:eastAsia="zh-CN"/>
              </w:rPr>
            </w:pPr>
            <w:r>
              <w:rPr>
                <w:rFonts w:hint="eastAsia" w:hAnsi="等线"/>
                <w:color w:val="000000"/>
                <w:sz w:val="20"/>
                <w:szCs w:val="20"/>
                <w:lang w:val="en-US" w:eastAsia="zh-CN"/>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黑色素瘤，肾细胞癌，结直肠癌，肝细胞癌，</w:t>
            </w:r>
          </w:p>
          <w:p>
            <w:pPr>
              <w:spacing w:before="78" w:beforeLines="25" w:after="78" w:afterLines="25"/>
              <w:jc w:val="center"/>
              <w:rPr>
                <w:rFonts w:hAnsi="等线"/>
                <w:color w:val="000000"/>
                <w:sz w:val="20"/>
                <w:szCs w:val="20"/>
              </w:rPr>
            </w:pPr>
            <w:r>
              <w:rPr>
                <w:rFonts w:hint="eastAsia" w:hAnsi="等线"/>
                <w:color w:val="000000"/>
                <w:sz w:val="20"/>
                <w:szCs w:val="20"/>
              </w:rPr>
              <w:t>非小细胞肺癌，恶性胸膜间皮瘤，食管癌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Pembrolizumab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帕博利珠单抗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Keytruda</w:t>
            </w:r>
          </w:p>
          <w:p>
            <w:pPr>
              <w:spacing w:before="78" w:beforeLines="25" w:after="78" w:afterLines="25"/>
              <w:jc w:val="center"/>
              <w:rPr>
                <w:rFonts w:hAnsi="等线"/>
                <w:color w:val="000000"/>
                <w:sz w:val="20"/>
                <w:szCs w:val="20"/>
              </w:rPr>
            </w:pPr>
            <w:r>
              <w:rPr>
                <w:rFonts w:hint="eastAsia" w:hAnsi="等线"/>
                <w:color w:val="000000"/>
                <w:sz w:val="20"/>
                <w:szCs w:val="20"/>
              </w:rPr>
              <w:t>可瑞达</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黑色素瘤，非小细胞肺癌，头颈鳞状细胞癌，</w:t>
            </w:r>
          </w:p>
          <w:p>
            <w:pPr>
              <w:spacing w:before="78" w:beforeLines="25" w:after="78" w:afterLines="25"/>
              <w:jc w:val="center"/>
              <w:rPr>
                <w:rFonts w:hAnsi="等线"/>
                <w:color w:val="000000"/>
                <w:sz w:val="20"/>
                <w:szCs w:val="20"/>
              </w:rPr>
            </w:pPr>
            <w:r>
              <w:rPr>
                <w:rFonts w:hint="eastAsia" w:hAnsi="等线"/>
                <w:color w:val="000000"/>
                <w:sz w:val="20"/>
                <w:szCs w:val="20"/>
              </w:rPr>
              <w:t>经典型霍奇金淋巴瘤，原发纵隔大B细胞淋巴瘤，</w:t>
            </w:r>
          </w:p>
          <w:p>
            <w:pPr>
              <w:spacing w:before="78" w:beforeLines="25" w:after="78" w:afterLines="25"/>
              <w:jc w:val="center"/>
              <w:rPr>
                <w:rFonts w:hAnsi="等线"/>
                <w:color w:val="000000"/>
                <w:sz w:val="20"/>
                <w:szCs w:val="20"/>
              </w:rPr>
            </w:pPr>
            <w:r>
              <w:rPr>
                <w:rFonts w:hint="eastAsia" w:hAnsi="等线"/>
                <w:color w:val="000000"/>
                <w:sz w:val="20"/>
                <w:szCs w:val="20"/>
              </w:rPr>
              <w:t>尿路上皮癌，MSI-H/dMMR型实体瘤，</w:t>
            </w:r>
          </w:p>
          <w:p>
            <w:pPr>
              <w:spacing w:before="78" w:beforeLines="25" w:after="78" w:afterLines="25"/>
              <w:jc w:val="center"/>
              <w:rPr>
                <w:rFonts w:hAnsi="等线"/>
                <w:color w:val="000000"/>
                <w:sz w:val="20"/>
                <w:szCs w:val="20"/>
              </w:rPr>
            </w:pPr>
            <w:r>
              <w:rPr>
                <w:rFonts w:hint="eastAsia" w:hAnsi="等线"/>
                <w:color w:val="000000"/>
                <w:sz w:val="20"/>
                <w:szCs w:val="20"/>
              </w:rPr>
              <w:t>MSI-H/dMMR型结直肠癌，胃癌，食管癌，宫颈癌，</w:t>
            </w:r>
          </w:p>
          <w:p>
            <w:pPr>
              <w:spacing w:before="78" w:beforeLines="25" w:after="78" w:afterLines="25"/>
              <w:jc w:val="center"/>
              <w:rPr>
                <w:rFonts w:hAnsi="等线"/>
                <w:color w:val="000000"/>
                <w:sz w:val="20"/>
                <w:szCs w:val="20"/>
              </w:rPr>
            </w:pPr>
            <w:r>
              <w:rPr>
                <w:rFonts w:hint="eastAsia" w:hAnsi="等线"/>
                <w:color w:val="000000"/>
                <w:sz w:val="20"/>
                <w:szCs w:val="20"/>
              </w:rPr>
              <w:t>肝细胞癌，默克细胞癌，肾细胞癌，子宫内膜癌，</w:t>
            </w:r>
          </w:p>
          <w:p>
            <w:pPr>
              <w:spacing w:before="78" w:beforeLines="25" w:after="78" w:afterLines="25"/>
              <w:jc w:val="center"/>
              <w:rPr>
                <w:rFonts w:hAnsi="等线"/>
                <w:color w:val="000000"/>
                <w:sz w:val="20"/>
                <w:szCs w:val="20"/>
              </w:rPr>
            </w:pPr>
            <w:r>
              <w:rPr>
                <w:rFonts w:hint="eastAsia" w:hAnsi="等线"/>
                <w:color w:val="000000"/>
                <w:sz w:val="20"/>
                <w:szCs w:val="20"/>
              </w:rPr>
              <w:t>TMB-H型实体瘤，皮肤鳞状细胞癌，三阴性乳腺癌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Nivolumab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纳武利尤单抗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Opdivo</w:t>
            </w:r>
          </w:p>
          <w:p>
            <w:pPr>
              <w:spacing w:before="78" w:beforeLines="25" w:after="78" w:afterLines="25"/>
              <w:jc w:val="center"/>
              <w:rPr>
                <w:rFonts w:hAnsi="等线"/>
                <w:color w:val="000000"/>
                <w:sz w:val="20"/>
                <w:szCs w:val="20"/>
              </w:rPr>
            </w:pPr>
            <w:r>
              <w:rPr>
                <w:rFonts w:hint="eastAsia" w:hAnsi="等线"/>
                <w:color w:val="000000"/>
                <w:sz w:val="20"/>
                <w:szCs w:val="20"/>
              </w:rPr>
              <w:t>欧狄沃</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黑色素瘤，非小细胞肺癌，恶性胸膜间皮瘤，</w:t>
            </w:r>
          </w:p>
          <w:p>
            <w:pPr>
              <w:spacing w:before="78" w:beforeLines="25" w:after="78" w:afterLines="25"/>
              <w:jc w:val="center"/>
              <w:rPr>
                <w:rFonts w:hAnsi="等线"/>
                <w:color w:val="000000"/>
                <w:sz w:val="20"/>
                <w:szCs w:val="20"/>
              </w:rPr>
            </w:pPr>
            <w:r>
              <w:rPr>
                <w:rFonts w:hint="eastAsia" w:hAnsi="等线"/>
                <w:color w:val="000000"/>
                <w:sz w:val="20"/>
                <w:szCs w:val="20"/>
              </w:rPr>
              <w:t>肾细胞癌，经典型霍奇金淋巴瘤，头颈鳞状细胞癌，</w:t>
            </w:r>
          </w:p>
          <w:p>
            <w:pPr>
              <w:spacing w:before="78" w:beforeLines="25" w:after="78" w:afterLines="25"/>
              <w:jc w:val="center"/>
              <w:rPr>
                <w:rFonts w:hAnsi="等线"/>
                <w:color w:val="000000"/>
                <w:sz w:val="20"/>
                <w:szCs w:val="20"/>
              </w:rPr>
            </w:pPr>
            <w:r>
              <w:rPr>
                <w:rFonts w:hint="eastAsia" w:hAnsi="等线"/>
                <w:color w:val="000000"/>
                <w:sz w:val="20"/>
                <w:szCs w:val="20"/>
              </w:rPr>
              <w:t>尿路上皮癌，结直肠癌，肝细胞癌，食管癌，</w:t>
            </w:r>
          </w:p>
          <w:p>
            <w:pPr>
              <w:spacing w:before="78" w:beforeLines="25" w:after="78" w:afterLines="25"/>
              <w:jc w:val="center"/>
              <w:rPr>
                <w:rFonts w:hAnsi="等线"/>
                <w:color w:val="000000"/>
                <w:sz w:val="20"/>
                <w:szCs w:val="20"/>
              </w:rPr>
            </w:pPr>
            <w:r>
              <w:rPr>
                <w:rFonts w:hint="eastAsia" w:hAnsi="等线"/>
                <w:color w:val="000000"/>
                <w:sz w:val="20"/>
                <w:szCs w:val="20"/>
              </w:rPr>
              <w:t>胃及胃食管交界处腺癌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Atezolizumab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阿替利珠单抗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Tecentriq</w:t>
            </w:r>
          </w:p>
          <w:p>
            <w:pPr>
              <w:spacing w:before="78" w:beforeLines="25" w:after="78" w:afterLines="25"/>
              <w:jc w:val="center"/>
              <w:rPr>
                <w:rFonts w:hAnsi="等线"/>
                <w:color w:val="000000"/>
                <w:sz w:val="20"/>
                <w:szCs w:val="20"/>
              </w:rPr>
            </w:pPr>
            <w:r>
              <w:rPr>
                <w:rFonts w:hint="eastAsia" w:hAnsi="等线"/>
                <w:color w:val="000000"/>
                <w:sz w:val="20"/>
                <w:szCs w:val="20"/>
              </w:rPr>
              <w:t>泰圣奇</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非小细胞肺癌，小细胞肺癌，</w:t>
            </w:r>
          </w:p>
          <w:p>
            <w:pPr>
              <w:spacing w:before="78" w:beforeLines="25" w:after="78" w:afterLines="25"/>
              <w:jc w:val="center"/>
              <w:rPr>
                <w:rFonts w:hAnsi="等线"/>
                <w:color w:val="000000"/>
                <w:sz w:val="20"/>
                <w:szCs w:val="20"/>
              </w:rPr>
            </w:pPr>
            <w:r>
              <w:rPr>
                <w:rFonts w:hint="eastAsia" w:hAnsi="等线"/>
                <w:color w:val="000000"/>
                <w:sz w:val="20"/>
                <w:szCs w:val="20"/>
              </w:rPr>
              <w:t>肝细胞癌，黑色素瘤，腺泡状软组织肉瘤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Durvalumab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度伐利尤单抗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Imfinzi</w:t>
            </w:r>
          </w:p>
          <w:p>
            <w:pPr>
              <w:spacing w:before="78" w:beforeLines="25" w:after="78" w:afterLines="25"/>
              <w:jc w:val="center"/>
              <w:rPr>
                <w:rFonts w:hAnsi="等线"/>
                <w:color w:val="000000"/>
                <w:sz w:val="20"/>
                <w:szCs w:val="20"/>
              </w:rPr>
            </w:pPr>
            <w:r>
              <w:rPr>
                <w:rFonts w:hint="eastAsia" w:hAnsi="等线"/>
                <w:color w:val="000000"/>
                <w:sz w:val="20"/>
                <w:szCs w:val="20"/>
              </w:rPr>
              <w:t>英飞凡</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非小细胞肺癌，小细胞肺癌，胆道癌，</w:t>
            </w:r>
            <w:r>
              <w:rPr>
                <w:rFonts w:ascii="Helvetica" w:hAnsi="Helvetica"/>
                <w:color w:val="333333"/>
                <w:sz w:val="20"/>
                <w:szCs w:val="20"/>
              </w:rPr>
              <w:t>肝细胞癌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Toripalimab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特瑞普利单抗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拓益</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w:t>
            </w:r>
            <w:r>
              <w:rPr>
                <w:rFonts w:hint="eastAsia" w:hAnsi="等线"/>
                <w:sz w:val="20"/>
                <w:szCs w:val="20"/>
              </w:rPr>
              <w:t>尿路上皮癌，鼻咽癌，食管鳞状细胞癌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Sintilimab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信迪利单抗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达伯舒</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经典型霍奇金淋巴瘤，非小细胞肺癌，肝细胞癌，</w:t>
            </w:r>
          </w:p>
          <w:p>
            <w:pPr>
              <w:spacing w:before="78" w:beforeLines="25" w:after="78" w:afterLines="25"/>
              <w:jc w:val="center"/>
              <w:rPr>
                <w:rFonts w:hAnsi="等线"/>
                <w:color w:val="000000"/>
                <w:sz w:val="20"/>
                <w:szCs w:val="20"/>
              </w:rPr>
            </w:pPr>
            <w:r>
              <w:rPr>
                <w:rFonts w:hint="eastAsia" w:hAnsi="等线"/>
                <w:sz w:val="20"/>
                <w:szCs w:val="20"/>
              </w:rPr>
              <w:t>食管鳞状细胞癌</w:t>
            </w:r>
            <w:r>
              <w:rPr>
                <w:rFonts w:hint="eastAsia" w:hAnsi="等线"/>
                <w:color w:val="000000"/>
                <w:sz w:val="20"/>
                <w:szCs w:val="20"/>
              </w:rPr>
              <w:t>，胃及胃食管交界处腺癌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Camrelizumab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卡瑞利珠单抗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艾瑞卡</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经典型霍奇金淋巴瘤，肝细胞癌，</w:t>
            </w:r>
          </w:p>
          <w:p>
            <w:pPr>
              <w:spacing w:before="78" w:beforeLines="25" w:after="78" w:afterLines="25"/>
              <w:jc w:val="center"/>
              <w:rPr>
                <w:rFonts w:hAnsi="等线"/>
                <w:color w:val="000000"/>
                <w:sz w:val="20"/>
                <w:szCs w:val="20"/>
              </w:rPr>
            </w:pPr>
            <w:r>
              <w:rPr>
                <w:rFonts w:hint="eastAsia" w:hAnsi="等线"/>
                <w:color w:val="000000"/>
                <w:sz w:val="20"/>
                <w:szCs w:val="20"/>
              </w:rPr>
              <w:t>非小细胞肺癌，食管鳞癌，鼻咽癌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Tislelizumab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替雷利珠单抗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百泽安</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经典型霍奇金淋巴瘤，尿路上皮癌，</w:t>
            </w:r>
          </w:p>
          <w:p>
            <w:pPr>
              <w:jc w:val="center"/>
              <w:rPr>
                <w:rFonts w:hAnsi="等线"/>
                <w:color w:val="000000"/>
                <w:sz w:val="20"/>
                <w:szCs w:val="20"/>
              </w:rPr>
            </w:pPr>
            <w:r>
              <w:rPr>
                <w:rFonts w:hint="eastAsia" w:hAnsi="等线"/>
                <w:color w:val="000000"/>
                <w:sz w:val="20"/>
                <w:szCs w:val="20"/>
              </w:rPr>
              <w:t>非小细胞肺癌，肝细胞癌，MSI-H型实体瘤，</w:t>
            </w:r>
          </w:p>
          <w:p>
            <w:pPr>
              <w:jc w:val="center"/>
              <w:rPr>
                <w:rFonts w:hAnsi="等线"/>
                <w:color w:val="000000"/>
                <w:sz w:val="20"/>
                <w:szCs w:val="20"/>
              </w:rPr>
            </w:pPr>
            <w:r>
              <w:rPr>
                <w:rFonts w:hint="eastAsia" w:hAnsi="等线"/>
                <w:color w:val="000000"/>
                <w:sz w:val="20"/>
                <w:szCs w:val="20"/>
              </w:rPr>
              <w:t>食管鳞状细胞癌，鼻咽癌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Penpulimab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派安普利单抗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安尼可</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经典型霍奇金淋巴瘤，鳞状非小细胞肺癌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Zimberelimab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赛帕利单抗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誉妥</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Envafolimab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恩沃利单抗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恩维达</w:t>
            </w:r>
          </w:p>
        </w:tc>
        <w:tc>
          <w:tcPr>
            <w:tcW w:w="1520" w:type="dxa"/>
            <w:tcBorders>
              <w:tl2br w:val="nil"/>
              <w:tr2bl w:val="nil"/>
            </w:tcBorders>
            <w:shd w:val="clear" w:color="auto" w:fill="BCE7B6"/>
            <w:vAlign w:val="center"/>
          </w:tcPr>
          <w:p>
            <w:pPr>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MSI-H/dMMR型实体瘤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Sugemalimab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舒格利单抗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择捷美</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Serplulimab</w:t>
            </w:r>
          </w:p>
          <w:p>
            <w:pPr>
              <w:spacing w:before="78" w:beforeLines="25" w:after="78" w:afterLines="25"/>
              <w:jc w:val="center"/>
              <w:rPr>
                <w:rFonts w:hAnsi="等线"/>
                <w:b/>
                <w:bCs/>
                <w:color w:val="000000"/>
                <w:sz w:val="20"/>
                <w:szCs w:val="20"/>
              </w:rPr>
            </w:pPr>
            <w:r>
              <w:rPr>
                <w:rFonts w:hAnsi="等线"/>
                <w:b w:val="0"/>
                <w:bCs w:val="0"/>
                <w:color w:val="000000"/>
                <w:sz w:val="20"/>
                <w:szCs w:val="20"/>
              </w:rPr>
              <w:t>斯鲁利单抗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Ansi="等线"/>
                <w:color w:val="000000"/>
                <w:sz w:val="20"/>
                <w:szCs w:val="20"/>
              </w:rPr>
              <w:t>汉斯状</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MSI-H型实体瘤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jc w:val="center"/>
              <w:rPr>
                <w:rFonts w:hAnsi="等线"/>
                <w:b w:val="0"/>
                <w:bCs w:val="0"/>
                <w:color w:val="000000"/>
                <w:sz w:val="20"/>
                <w:szCs w:val="20"/>
              </w:rPr>
            </w:pPr>
            <w:r>
              <w:rPr>
                <w:rFonts w:hint="eastAsia" w:hAnsi="等线"/>
                <w:b w:val="0"/>
                <w:bCs w:val="0"/>
                <w:color w:val="000000"/>
                <w:sz w:val="20"/>
                <w:szCs w:val="20"/>
              </w:rPr>
              <w:t>Cadonilimab</w:t>
            </w:r>
          </w:p>
          <w:p>
            <w:pPr>
              <w:jc w:val="center"/>
              <w:rPr>
                <w:rFonts w:hAnsi="等线"/>
                <w:b w:val="0"/>
                <w:bCs w:val="0"/>
                <w:color w:val="000000"/>
                <w:sz w:val="20"/>
                <w:szCs w:val="20"/>
              </w:rPr>
            </w:pPr>
            <w:r>
              <w:rPr>
                <w:rFonts w:hint="eastAsia" w:hAnsi="等线"/>
                <w:b w:val="0"/>
                <w:bCs w:val="0"/>
                <w:color w:val="000000"/>
                <w:sz w:val="20"/>
                <w:szCs w:val="20"/>
              </w:rPr>
              <w:t>卡度尼利单抗</w:t>
            </w:r>
          </w:p>
        </w:tc>
        <w:tc>
          <w:tcPr>
            <w:tcW w:w="1429" w:type="dxa"/>
            <w:tcBorders>
              <w:tl2br w:val="nil"/>
              <w:tr2bl w:val="nil"/>
            </w:tcBorders>
            <w:shd w:val="clear" w:color="auto" w:fill="F8F8F8"/>
            <w:vAlign w:val="center"/>
          </w:tcPr>
          <w:p>
            <w:pPr>
              <w:jc w:val="center"/>
              <w:rPr>
                <w:rFonts w:hAnsi="等线"/>
                <w:color w:val="0000FF"/>
                <w:sz w:val="20"/>
                <w:szCs w:val="20"/>
              </w:rPr>
            </w:pPr>
            <w:r>
              <w:rPr>
                <w:rFonts w:hint="eastAsia" w:hAnsi="等线"/>
                <w:sz w:val="20"/>
                <w:szCs w:val="20"/>
              </w:rPr>
              <w:t>开坦尼</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FF"/>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宫颈癌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Pucotenlimab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普特利单抗</w:t>
            </w:r>
          </w:p>
        </w:tc>
        <w:tc>
          <w:tcPr>
            <w:tcW w:w="1429" w:type="dxa"/>
            <w:tcBorders>
              <w:tl2br w:val="nil"/>
              <w:tr2bl w:val="nil"/>
            </w:tcBorders>
            <w:shd w:val="clear" w:color="auto" w:fill="BCE7B6"/>
            <w:vAlign w:val="center"/>
          </w:tcPr>
          <w:p>
            <w:pPr>
              <w:jc w:val="center"/>
              <w:rPr>
                <w:rFonts w:hAnsi="等线"/>
                <w:color w:val="000000"/>
                <w:sz w:val="20"/>
                <w:szCs w:val="20"/>
              </w:rPr>
            </w:pPr>
            <w:r>
              <w:rPr>
                <w:rFonts w:hint="eastAsia" w:hAnsi="等线"/>
                <w:sz w:val="20"/>
                <w:szCs w:val="20"/>
              </w:rPr>
              <w:t>普佑恒</w:t>
            </w:r>
          </w:p>
        </w:tc>
        <w:tc>
          <w:tcPr>
            <w:tcW w:w="1520" w:type="dxa"/>
            <w:tcBorders>
              <w:tl2br w:val="nil"/>
              <w:tr2bl w:val="nil"/>
            </w:tcBorders>
            <w:shd w:val="clear" w:color="auto" w:fill="BCE7B6"/>
            <w:vAlign w:val="center"/>
          </w:tcPr>
          <w:p>
            <w:pPr>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jc w:val="center"/>
              <w:rPr>
                <w:rFonts w:hAnsi="等线" w:eastAsia="宋体"/>
                <w:color w:val="000000"/>
                <w:sz w:val="20"/>
                <w:szCs w:val="20"/>
              </w:rPr>
            </w:pPr>
            <w:r>
              <w:rPr>
                <w:rFonts w:hint="eastAsia" w:hAnsi="等线"/>
                <w:color w:val="000000"/>
                <w:sz w:val="20"/>
                <w:szCs w:val="20"/>
              </w:rPr>
              <w:t>MSI-H/dMMR型实体瘤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jc w:val="center"/>
              <w:rPr>
                <w:rFonts w:hAnsi="等线"/>
                <w:b w:val="0"/>
                <w:bCs w:val="0"/>
                <w:color w:val="000000"/>
                <w:sz w:val="20"/>
                <w:szCs w:val="20"/>
              </w:rPr>
            </w:pPr>
            <w:r>
              <w:rPr>
                <w:rFonts w:hint="eastAsia" w:hAnsi="等线"/>
                <w:b w:val="0"/>
                <w:bCs w:val="0"/>
                <w:color w:val="000000"/>
                <w:sz w:val="20"/>
                <w:szCs w:val="20"/>
              </w:rPr>
              <w:t>Adebrelimab</w:t>
            </w:r>
          </w:p>
          <w:p>
            <w:pPr>
              <w:jc w:val="center"/>
              <w:rPr>
                <w:rFonts w:hAnsi="等线"/>
                <w:b w:val="0"/>
                <w:bCs w:val="0"/>
                <w:color w:val="000000"/>
                <w:sz w:val="20"/>
                <w:szCs w:val="20"/>
              </w:rPr>
            </w:pPr>
            <w:r>
              <w:rPr>
                <w:rFonts w:hint="eastAsia" w:hAnsi="等线"/>
                <w:b w:val="0"/>
                <w:bCs w:val="0"/>
                <w:color w:val="000000"/>
                <w:sz w:val="20"/>
                <w:szCs w:val="20"/>
              </w:rPr>
              <w:t>阿得贝利单抗</w:t>
            </w:r>
          </w:p>
        </w:tc>
        <w:tc>
          <w:tcPr>
            <w:tcW w:w="1429" w:type="dxa"/>
            <w:tcBorders>
              <w:tl2br w:val="nil"/>
              <w:tr2bl w:val="nil"/>
            </w:tcBorders>
            <w:shd w:val="clear" w:color="auto" w:fill="F8F8F8"/>
            <w:vAlign w:val="center"/>
          </w:tcPr>
          <w:p>
            <w:pPr>
              <w:jc w:val="center"/>
              <w:rPr>
                <w:rFonts w:hAnsi="等线"/>
                <w:color w:val="0000FF"/>
                <w:sz w:val="20"/>
                <w:szCs w:val="20"/>
              </w:rPr>
            </w:pPr>
            <w:r>
              <w:rPr>
                <w:rFonts w:hint="eastAsia" w:hAnsi="等线"/>
                <w:color w:val="000000"/>
                <w:sz w:val="20"/>
                <w:szCs w:val="20"/>
              </w:rPr>
              <w:t>艾瑞利</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FF"/>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Avelumab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阿维鲁单抗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Bavencio</w:t>
            </w:r>
          </w:p>
        </w:tc>
        <w:tc>
          <w:tcPr>
            <w:tcW w:w="1520" w:type="dxa"/>
            <w:tcBorders>
              <w:tl2br w:val="nil"/>
              <w:tr2bl w:val="nil"/>
            </w:tcBorders>
            <w:shd w:val="clear" w:color="auto" w:fill="BCE7B6"/>
            <w:vAlign w:val="center"/>
          </w:tcPr>
          <w:p>
            <w:pPr>
              <w:spacing w:before="78" w:beforeLines="25" w:after="78" w:afterLines="25"/>
              <w:jc w:val="center"/>
              <w:rPr>
                <w:rFonts w:hint="eastAsia" w:hAnsi="等线" w:eastAsia="等线"/>
                <w:color w:val="000000"/>
                <w:sz w:val="20"/>
                <w:szCs w:val="20"/>
                <w:lang w:eastAsia="zh-CN"/>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默克细胞癌，尿路上皮癌，肾细胞癌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C</w:t>
            </w:r>
            <w:r>
              <w:rPr>
                <w:rFonts w:hint="eastAsia" w:hAnsi="等线"/>
                <w:b w:val="0"/>
                <w:bCs w:val="0"/>
                <w:color w:val="000000"/>
                <w:sz w:val="20"/>
                <w:szCs w:val="20"/>
              </w:rPr>
              <w:t>emiplimab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塞米普利单抗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Libtayo</w:t>
            </w:r>
          </w:p>
        </w:tc>
        <w:tc>
          <w:tcPr>
            <w:tcW w:w="1520" w:type="dxa"/>
            <w:tcBorders>
              <w:tl2br w:val="nil"/>
              <w:tr2bl w:val="nil"/>
            </w:tcBorders>
            <w:shd w:val="clear" w:color="auto" w:fill="F8F8F8"/>
            <w:vAlign w:val="center"/>
          </w:tcPr>
          <w:p>
            <w:pPr>
              <w:spacing w:before="78" w:beforeLines="25" w:after="78" w:afterLines="25"/>
              <w:ind w:left="-105" w:leftChars="-50" w:right="-105" w:rightChars="-50"/>
              <w:jc w:val="center"/>
              <w:rPr>
                <w:rFonts w:hAnsi="等线"/>
                <w:color w:val="000000"/>
                <w:sz w:val="20"/>
                <w:szCs w:val="20"/>
              </w:rPr>
            </w:pPr>
            <w:r>
              <w:rPr>
                <w:rFonts w:hint="eastAsia"/>
              </w:rPr>
              <w:t>否</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皮肤鳞状细胞癌，基底细胞癌，非小细胞肺癌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D</w:t>
            </w:r>
            <w:r>
              <w:rPr>
                <w:rFonts w:hint="eastAsia" w:hAnsi="等线"/>
                <w:b w:val="0"/>
                <w:bCs w:val="0"/>
                <w:color w:val="000000"/>
                <w:sz w:val="20"/>
                <w:szCs w:val="20"/>
              </w:rPr>
              <w:t>ostarlimab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多塔利单抗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J</w:t>
            </w:r>
            <w:r>
              <w:rPr>
                <w:rFonts w:hAnsi="等线"/>
                <w:color w:val="000000"/>
                <w:sz w:val="20"/>
                <w:szCs w:val="20"/>
              </w:rPr>
              <w:t>emperli</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dMMR型子宫内膜癌，dMMR型实体瘤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int="eastAsia" w:hAnsi="等线" w:eastAsia="等线"/>
                <w:b w:val="0"/>
                <w:bCs w:val="0"/>
                <w:color w:val="000000"/>
                <w:sz w:val="20"/>
                <w:szCs w:val="20"/>
                <w:lang w:val="en-US" w:eastAsia="zh-CN"/>
              </w:rPr>
            </w:pPr>
            <w:r>
              <w:rPr>
                <w:rFonts w:hint="eastAsia" w:hAnsi="等线"/>
                <w:b w:val="0"/>
                <w:bCs w:val="0"/>
                <w:color w:val="000000"/>
                <w:sz w:val="20"/>
                <w:szCs w:val="20"/>
              </w:rPr>
              <w:t>Nivolumab/</w:t>
            </w:r>
            <w:r>
              <w:rPr>
                <w:rFonts w:hint="eastAsia" w:hAnsi="等线"/>
                <w:b w:val="0"/>
                <w:bCs w:val="0"/>
                <w:color w:val="000000"/>
                <w:sz w:val="20"/>
                <w:szCs w:val="20"/>
              </w:rPr>
              <w:br w:type="textWrapping"/>
            </w:r>
            <w:r>
              <w:rPr>
                <w:rFonts w:hint="eastAsia" w:hAnsi="等线"/>
                <w:b w:val="0"/>
                <w:bCs w:val="0"/>
                <w:color w:val="000000"/>
                <w:sz w:val="20"/>
                <w:szCs w:val="20"/>
              </w:rPr>
              <w:t>Relatlimab</w:t>
            </w:r>
          </w:p>
        </w:tc>
        <w:tc>
          <w:tcPr>
            <w:tcW w:w="1429" w:type="dxa"/>
            <w:tcBorders>
              <w:tl2br w:val="nil"/>
              <w:tr2bl w:val="nil"/>
            </w:tcBorders>
            <w:shd w:val="clear" w:color="auto" w:fill="F8F8F8"/>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O</w:t>
            </w:r>
            <w:r>
              <w:rPr>
                <w:rFonts w:hint="eastAsia" w:hAnsi="等线"/>
                <w:color w:val="000000"/>
                <w:sz w:val="20"/>
                <w:szCs w:val="20"/>
                <w:lang w:val="en-US" w:eastAsia="zh-CN"/>
              </w:rPr>
              <w:t>pdualag</w:t>
            </w:r>
          </w:p>
        </w:tc>
        <w:tc>
          <w:tcPr>
            <w:tcW w:w="1520" w:type="dxa"/>
            <w:tcBorders>
              <w:tl2br w:val="nil"/>
              <w:tr2bl w:val="nil"/>
            </w:tcBorders>
            <w:shd w:val="clear" w:color="auto" w:fill="F8F8F8"/>
            <w:vAlign w:val="center"/>
          </w:tcPr>
          <w:p>
            <w:pPr>
              <w:spacing w:before="78" w:beforeLines="25" w:after="78" w:afterLines="25"/>
              <w:jc w:val="center"/>
              <w:rPr>
                <w:rFonts w:hint="eastAsia" w:hAnsi="等线"/>
                <w:color w:val="000000"/>
                <w:sz w:val="20"/>
                <w:szCs w:val="20"/>
              </w:rPr>
            </w:pPr>
            <w:r>
              <w:rPr>
                <w:rFonts w:hint="eastAsia"/>
              </w:rPr>
              <w:t>否</w:t>
            </w:r>
          </w:p>
        </w:tc>
        <w:tc>
          <w:tcPr>
            <w:tcW w:w="5006" w:type="dxa"/>
            <w:tcBorders>
              <w:tl2br w:val="nil"/>
              <w:tr2bl w:val="nil"/>
            </w:tcBorders>
            <w:shd w:val="clear" w:color="auto" w:fill="F8F8F8"/>
            <w:noWrap/>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黑色素瘤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Tremelimumab</w:t>
            </w:r>
          </w:p>
        </w:tc>
        <w:tc>
          <w:tcPr>
            <w:tcW w:w="1429" w:type="dxa"/>
            <w:tcBorders>
              <w:tl2br w:val="nil"/>
              <w:tr2bl w:val="nil"/>
            </w:tcBorders>
            <w:shd w:val="clear" w:color="auto" w:fill="BCE7B6"/>
            <w:vAlign w:val="center"/>
          </w:tcPr>
          <w:p>
            <w:pPr>
              <w:spacing w:before="78" w:beforeLines="25" w:after="78" w:afterLines="25"/>
              <w:jc w:val="center"/>
              <w:rPr>
                <w:rFonts w:hint="default" w:hAnsi="等线" w:eastAsia="等线"/>
                <w:color w:val="000000"/>
                <w:sz w:val="20"/>
                <w:szCs w:val="20"/>
                <w:lang w:val="en-US" w:eastAsia="zh-CN"/>
              </w:rPr>
            </w:pPr>
            <w:r>
              <w:rPr>
                <w:rFonts w:hint="eastAsia" w:hAnsi="等线"/>
                <w:color w:val="000000"/>
                <w:sz w:val="20"/>
                <w:szCs w:val="20"/>
                <w:lang w:val="en-US" w:eastAsia="zh-CN"/>
              </w:rPr>
              <w:t>Imjudo</w:t>
            </w:r>
          </w:p>
        </w:tc>
        <w:tc>
          <w:tcPr>
            <w:tcW w:w="1520" w:type="dxa"/>
            <w:tcBorders>
              <w:tl2br w:val="nil"/>
              <w:tr2bl w:val="nil"/>
            </w:tcBorders>
            <w:shd w:val="clear" w:color="auto" w:fill="BCE7B6"/>
            <w:vAlign w:val="center"/>
          </w:tcPr>
          <w:p>
            <w:pPr>
              <w:spacing w:before="78" w:beforeLines="25" w:after="78" w:afterLines="25"/>
              <w:jc w:val="center"/>
              <w:rPr>
                <w:rFonts w:hint="eastAsia" w:hAnsi="等线"/>
                <w:color w:val="000000"/>
                <w:sz w:val="20"/>
                <w:szCs w:val="20"/>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肝细胞癌</w:t>
            </w:r>
          </w:p>
        </w:tc>
      </w:tr>
    </w:tbl>
    <w:p>
      <w:pPr>
        <w:rPr>
          <w:rFonts w:hAnsi="等线"/>
          <w:szCs w:val="21"/>
        </w:rPr>
      </w:pPr>
      <w:r>
        <w:rPr>
          <w:rFonts w:hAnsi="等线"/>
          <w:szCs w:val="21"/>
        </w:rPr>
        <w:br w:type="page"/>
      </w:r>
    </w:p>
    <w:p>
      <w:pPr>
        <w:rPr>
          <w:rFonts w:hAnsi="等线"/>
          <w:szCs w:val="21"/>
        </w:rPr>
      </w:pPr>
      <w:r>
        <mc:AlternateContent>
          <mc:Choice Requires="wps">
            <w:drawing>
              <wp:anchor distT="0" distB="0" distL="114300" distR="114300" simplePos="0" relativeHeight="251688960" behindDoc="0" locked="0" layoutInCell="1" allowOverlap="1">
                <wp:simplePos x="0" y="0"/>
                <wp:positionH relativeFrom="column">
                  <wp:posOffset>1196975</wp:posOffset>
                </wp:positionH>
                <wp:positionV relativeFrom="paragraph">
                  <wp:posOffset>-73025</wp:posOffset>
                </wp:positionV>
                <wp:extent cx="3909695" cy="636905"/>
                <wp:effectExtent l="0" t="0" r="0" b="0"/>
                <wp:wrapNone/>
                <wp:docPr id="1030" name="文本框 86"/>
                <wp:cNvGraphicFramePr/>
                <a:graphic xmlns:a="http://schemas.openxmlformats.org/drawingml/2006/main">
                  <a:graphicData uri="http://schemas.microsoft.com/office/word/2010/wordprocessingShape">
                    <wps:wsp>
                      <wps:cNvSpPr txBox="1"/>
                      <wps:spPr>
                        <a:xfrm>
                          <a:off x="0" y="0"/>
                          <a:ext cx="3909695" cy="6369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int="default" w:hAnsi="等线" w:eastAsia="等线" w:cs="Arial"/>
                                <w:b/>
                                <w:bCs/>
                                <w:color w:val="F18E2D"/>
                                <w:sz w:val="32"/>
                                <w:szCs w:val="32"/>
                                <w:lang w:val="en-US" w:eastAsia="zh-CN"/>
                              </w:rPr>
                            </w:pPr>
                            <w:r>
                              <w:rPr>
                                <w:rFonts w:hint="eastAsia" w:hAnsi="等线" w:cs="Arial"/>
                                <w:b/>
                                <w:bCs/>
                                <w:color w:val="F18E2D"/>
                                <w:sz w:val="32"/>
                                <w:szCs w:val="32"/>
                              </w:rPr>
                              <w:t>化疗用药</w:t>
                            </w:r>
                            <w:r>
                              <w:rPr>
                                <w:rFonts w:hint="eastAsia" w:hAnsi="等线" w:cs="Arial"/>
                                <w:b/>
                                <w:bCs/>
                                <w:color w:val="F18E2D"/>
                                <w:sz w:val="32"/>
                                <w:szCs w:val="32"/>
                                <w:lang w:val="en-US" w:eastAsia="zh-CN"/>
                              </w:rPr>
                              <w:t>多态性位点检测结果及临床意义</w:t>
                            </w:r>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t>疫治疗相关Biomarker检测结果及临床意义</w:t>
                            </w:r>
                          </w:p>
                          <w:p>
                            <w:pP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4.25pt;margin-top:-5.75pt;height:50.15pt;width:307.85pt;z-index:251688960;mso-width-relative:page;mso-height-relative:page;" filled="f" stroked="f" coordsize="21600,21600" o:gfxdata="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cHnfrdkAAAAKAQAADwAAAAAAAAABACAAAAAiAAAAZHJz&#10;L2Rvd25yZXYueG1sUEsBAhQAFAAAAAgAh07iQMq+3Y48AgAAaAQAAA4AAAAAAAAAAQAgAAAAKAEA&#10;AGRycy9lMm9Eb2MueG1sUEsFBgAAAAAGAAYAWQEAANYFAAAAAA==&#10;">
                <v:fill on="f" focussize="0,0"/>
                <v:stroke on="f" weight="0.5pt"/>
                <v:imagedata o:title=""/>
                <o:lock v:ext="edit" aspectratio="f"/>
                <v:textbox>
                  <w:txbxContent>
                    <w:p>
                      <w:pPr>
                        <w:spacing w:before="340" w:line="360" w:lineRule="auto"/>
                        <w:jc w:val="center"/>
                        <w:outlineLvl w:val="1"/>
                        <w:rPr>
                          <w:rFonts w:hint="default" w:hAnsi="等线" w:eastAsia="等线" w:cs="Arial"/>
                          <w:b/>
                          <w:bCs/>
                          <w:color w:val="F18E2D"/>
                          <w:sz w:val="32"/>
                          <w:szCs w:val="32"/>
                          <w:lang w:val="en-US" w:eastAsia="zh-CN"/>
                        </w:rPr>
                      </w:pPr>
                      <w:r>
                        <w:rPr>
                          <w:rFonts w:hint="eastAsia" w:hAnsi="等线" w:cs="Arial"/>
                          <w:b/>
                          <w:bCs/>
                          <w:color w:val="F18E2D"/>
                          <w:sz w:val="32"/>
                          <w:szCs w:val="32"/>
                        </w:rPr>
                        <w:t>化疗用药</w:t>
                      </w:r>
                      <w:r>
                        <w:rPr>
                          <w:rFonts w:hint="eastAsia" w:hAnsi="等线" w:cs="Arial"/>
                          <w:b/>
                          <w:bCs/>
                          <w:color w:val="F18E2D"/>
                          <w:sz w:val="32"/>
                          <w:szCs w:val="32"/>
                          <w:lang w:val="en-US" w:eastAsia="zh-CN"/>
                        </w:rPr>
                        <w:t>多态性位点检测结果及临床意义</w:t>
                      </w:r>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t>疫治疗相关Biomarker检测结果及临床意义</w:t>
                      </w:r>
                    </w:p>
                    <w:p>
                      <w:pPr>
                        <w:rPr>
                          <w:color w:val="000000" w:themeColor="text1"/>
                          <w14:textFill>
                            <w14:solidFill>
                              <w14:schemeClr w14:val="tx1"/>
                            </w14:solidFill>
                          </w14:textFill>
                        </w:rPr>
                      </w:pPr>
                    </w:p>
                  </w:txbxContent>
                </v:textbox>
              </v:shape>
            </w:pict>
          </mc:Fallback>
        </mc:AlternateContent>
      </w:r>
    </w:p>
    <w:p>
      <w:pPr>
        <w:adjustRightInd w:val="0"/>
        <w:snapToGrid w:val="0"/>
        <w:jc w:val="left"/>
        <w:outlineLvl w:val="1"/>
        <w:rPr>
          <w:rFonts w:hAnsi="等线" w:cs="Arial"/>
          <w:b/>
          <w:bCs/>
          <w:color w:val="00B0F0"/>
          <w:szCs w:val="28"/>
        </w:rPr>
      </w:pPr>
      <w:bookmarkStart w:id="66" w:name="化疗用药基因变异解析"/>
      <w:bookmarkEnd w:id="66"/>
      <w:r>
        <mc:AlternateContent>
          <mc:Choice Requires="wpg">
            <w:drawing>
              <wp:anchor distT="0" distB="0" distL="114300" distR="114300" simplePos="0" relativeHeight="251689984" behindDoc="0" locked="0" layoutInCell="1" allowOverlap="1">
                <wp:simplePos x="0" y="0"/>
                <wp:positionH relativeFrom="column">
                  <wp:posOffset>5715</wp:posOffset>
                </wp:positionH>
                <wp:positionV relativeFrom="paragraph">
                  <wp:posOffset>-12065</wp:posOffset>
                </wp:positionV>
                <wp:extent cx="6294120" cy="388620"/>
                <wp:effectExtent l="0" t="10795" r="5080" b="19685"/>
                <wp:wrapNone/>
                <wp:docPr id="1031" name="组合 13"/>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83" name="圆角矩形 57"/>
                        <wps:cNvSpPr/>
                        <wps:spPr>
                          <a:xfrm>
                            <a:off x="4368" y="292680"/>
                            <a:ext cx="6348" cy="612"/>
                          </a:xfrm>
                          <a:prstGeom prst="roundRect">
                            <a:avLst/>
                          </a:prstGeom>
                          <a:noFill/>
                          <a:ln w="22225">
                            <a:solidFill>
                              <a:srgbClr val="F18E2D"/>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 name="直接连接符 60"/>
                        <wps:cNvCnPr/>
                        <wps:spPr>
                          <a:xfrm flipH="1">
                            <a:off x="2592" y="292986"/>
                            <a:ext cx="1776" cy="0"/>
                          </a:xfrm>
                          <a:prstGeom prst="line">
                            <a:avLst/>
                          </a:prstGeom>
                          <a:ln w="28575">
                            <a:solidFill>
                              <a:srgbClr val="F18E2D"/>
                            </a:solidFill>
                          </a:ln>
                        </wps:spPr>
                        <wps:style>
                          <a:lnRef idx="1">
                            <a:schemeClr val="accent1"/>
                          </a:lnRef>
                          <a:fillRef idx="0">
                            <a:schemeClr val="accent1"/>
                          </a:fillRef>
                          <a:effectRef idx="0">
                            <a:schemeClr val="accent1"/>
                          </a:effectRef>
                          <a:fontRef idx="minor">
                            <a:schemeClr val="tx1"/>
                          </a:fontRef>
                        </wps:style>
                        <wps:bodyPr/>
                      </wps:wsp>
                      <wps:wsp>
                        <wps:cNvPr id="85" name="直接连接符 61"/>
                        <wps:cNvCnPr/>
                        <wps:spPr>
                          <a:xfrm flipH="1">
                            <a:off x="10728" y="292962"/>
                            <a:ext cx="1776" cy="0"/>
                          </a:xfrm>
                          <a:prstGeom prst="line">
                            <a:avLst/>
                          </a:prstGeom>
                          <a:ln w="28575">
                            <a:solidFill>
                              <a:srgbClr val="F18E2D"/>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0.45pt;margin-top:-0.95pt;height:30.6pt;width:495.6pt;z-index:251689984;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PgQoyL4AAADb&#10;AAAADwAAAGRycy9kb3ducmV2LnhtbEWPS4vCQBCE78L+h6EXvMg6yQpLiI4eAqIrevAFe2wzvZmw&#10;mZ6QGV//3hEWPBbV9VXXZHazjbhQ52vHCtJhAoK4dLrmSsFhP//IQPiArLFxTAru5GE2fetNMNfu&#10;ylu67EIlIoR9jgpMCG0upS8NWfRD1xJH79d1FkOUXSV1h9cIt438TJIvabHm2GCwpcJQ+bc72/jG&#10;d3HK/LH4qVaHwUKuU1OazVap/nuajEEEuoXX8X96qRVkI3huiQCQ0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gQoyL4A&#10;AADbAAAADwAAAAAAAAABACAAAAAiAAAAZHJzL2Rvd25yZXYueG1sUEsBAhQAFAAAAAgAh07iQDMv&#10;BZ47AAAAOQAAABAAAAAAAAAAAQAgAAAADQEAAGRycy9zaGFwZXhtbC54bWxQSwUGAAAAAAYABgBb&#10;AQAAtwMAAAAA&#10;">
                  <v:fill on="f" focussize="0,0"/>
                  <v:stroke weight="1.75pt" color="#F18E2D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WR66z7oAAADb&#10;AAAADwAAAGRycy9kb3ducmV2LnhtbEWP3YrCMBSE74V9h3AWvNO0Iipdo7CKIAiCVe8PzbEtTU5K&#10;E//e3giCl8PMfMPMlw9rxI06XztWkA4TEMSF0zWXCk7HzWAGwgdkjcYxKXiSh+XipzfHTLs7H+iW&#10;h1JECPsMFVQhtJmUvqjIoh+6ljh6F9dZDFF2pdQd3iPcGjlKkom0WHNcqLClVUVFk1+tAtnsG2Pa&#10;9fa8yq1x6XF6+bc7pfq/afIHItAjfMOf9lYrmI3h/SX+ALl4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ZHrrPugAAANsA&#10;AAAPAAAAAAAAAAEAIAAAACIAAABkcnMvZG93bnJldi54bWxQSwECFAAUAAAACACHTuJAMy8FnjsA&#10;AAA5AAAAEAAAAAAAAAABACAAAAAJAQAAZHJzL3NoYXBleG1sLnhtbFBLBQYAAAAABgAGAFsBAACz&#10;AwAAAAA=&#10;">
                  <v:fill on="f" focussize="0,0"/>
                  <v:stroke weight="2.25pt" color="#F18E2D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NlIfVLoAAADb&#10;AAAADwAAAGRycy9kb3ducmV2LnhtbEWPW4vCMBSE34X9D+Es+KZpBS90jcIqgiAIVn0/NMe2NDkp&#10;Tbz9eyMIPg4z8w0zXz6sETfqfO1YQTpMQBAXTtdcKjgdN4MZCB+QNRrHpOBJHpaLn94cM+3ufKBb&#10;HkoRIewzVFCF0GZS+qIii37oWuLoXVxnMUTZlVJ3eI9wa+QoSSbSYs1xocKWVhUVTX61CmSzb4xp&#10;19vzKrfGpcfp5d/ulOr/pskfiECP8A1/2lutYDaG95f4A+Ti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2Uh9UugAAANsA&#10;AAAPAAAAAAAAAAEAIAAAACIAAABkcnMvZG93bnJldi54bWxQSwECFAAUAAAACACHTuJAMy8FnjsA&#10;AAA5AAAAEAAAAAAAAAABACAAAAAJAQAAZHJzL3NoYXBleG1sLnhtbFBLBQYAAAAABgAGAFsBAACz&#10;AwAAAAA=&#10;">
                  <v:fill on="f" focussize="0,0"/>
                  <v:stroke weight="2.25pt" color="#F18E2D [3204]" miterlimit="8" joinstyle="miter"/>
                  <v:imagedata o:title=""/>
                  <o:lock v:ext="edit" aspectratio="f"/>
                </v:line>
              </v:group>
            </w:pict>
          </mc:Fallback>
        </mc:AlternateContent>
      </w:r>
    </w:p>
    <w:p/>
    <w:p>
      <w:pPr>
        <w:snapToGrid w:val="0"/>
        <w:jc w:val="left"/>
        <w:rPr>
          <w:rFonts w:hAnsi="等线"/>
          <w:szCs w:val="21"/>
        </w:rPr>
      </w:pPr>
    </w:p>
    <w:p>
      <w:pPr>
        <w:snapToGrid w:val="0"/>
        <w:jc w:val="left"/>
      </w:pPr>
    </w:p>
    <w:p>
      <w:pPr>
        <w:spacing w:line="360" w:lineRule="auto"/>
        <w:ind w:firstLine="840" w:firstLineChars="300"/>
        <w:jc w:val="left"/>
        <w:outlineLvl w:val="2"/>
        <w:rPr>
          <w:rFonts w:hAnsi="等线" w:cs="Arial"/>
          <w:b/>
          <w:bCs/>
          <w:color w:val="F18E2D"/>
          <w:sz w:val="28"/>
          <w:szCs w:val="28"/>
        </w:rPr>
      </w:pPr>
      <w:bookmarkStart w:id="67" w:name="化疗用药提示"/>
      <w:bookmarkEnd w:id="67"/>
      <w:bookmarkStart w:id="68" w:name="_Toc89103145"/>
      <w:bookmarkStart w:id="69" w:name="_Hlk93489668"/>
      <w:r>
        <w:rPr>
          <w:rFonts w:hint="eastAsia" w:hAnsi="等线" w:cs="Arial"/>
          <w:b/>
          <w:bCs/>
          <w:color w:val="F18E2D"/>
          <w:sz w:val="28"/>
          <w:szCs w:val="28"/>
        </w:rPr>
        <w:drawing>
          <wp:anchor distT="0" distB="0" distL="114300" distR="114300" simplePos="0" relativeHeight="251694080" behindDoc="0" locked="0" layoutInCell="1" allowOverlap="1">
            <wp:simplePos x="0" y="0"/>
            <wp:positionH relativeFrom="column">
              <wp:posOffset>236220</wp:posOffset>
            </wp:positionH>
            <wp:positionV relativeFrom="paragraph">
              <wp:posOffset>48895</wp:posOffset>
            </wp:positionV>
            <wp:extent cx="274955" cy="277495"/>
            <wp:effectExtent l="0" t="0" r="0" b="8255"/>
            <wp:wrapNone/>
            <wp:docPr id="1032" name="图片 26"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D:\解码\4x\资源 2@45.png资源 2@45"/>
                    <pic:cNvPicPr>
                      <a:picLocks noChangeAspect="1"/>
                    </pic:cNvPicPr>
                  </pic:nvPicPr>
                  <pic:blipFill>
                    <a:blip r:embed="rId14">
                      <a:duotone>
                        <a:prstClr val="black"/>
                        <a:srgbClr val="F18E2D">
                          <a:tint val="45000"/>
                          <a:satMod val="400000"/>
                        </a:srgbClr>
                      </a:duotone>
                    </a:blip>
                    <a:srcRect/>
                    <a:stretch>
                      <a:fillRect/>
                    </a:stretch>
                  </pic:blipFill>
                  <pic:spPr>
                    <a:xfrm>
                      <a:off x="0" y="0"/>
                      <a:ext cx="274955" cy="277495"/>
                    </a:xfrm>
                    <a:prstGeom prst="rect">
                      <a:avLst/>
                    </a:prstGeom>
                  </pic:spPr>
                </pic:pic>
              </a:graphicData>
            </a:graphic>
          </wp:anchor>
        </w:drawing>
      </w:r>
      <w:r>
        <w:rPr>
          <w:rFonts w:hAnsi="等线" w:cs="Arial"/>
          <w:b/>
          <w:bCs/>
          <w:color w:val="F18E2D"/>
          <w:sz w:val="28"/>
          <w:szCs w:val="28"/>
        </w:rPr>
        <w:t>化疗用药提示</w:t>
      </w:r>
      <w:bookmarkEnd w:id="68"/>
    </w:p>
    <w:p>
      <w:pPr>
        <w:spacing w:before="156" w:beforeLines="50" w:after="156" w:afterLines="50" w:line="360" w:lineRule="auto"/>
        <w:ind w:firstLine="420" w:firstLineChars="200"/>
        <w:rPr>
          <w:rFonts w:hAnsi="等线" w:cs="Arial"/>
          <w:szCs w:val="21"/>
        </w:rPr>
      </w:pPr>
      <w:r>
        <w:rPr>
          <w:rFonts w:hAnsi="等线" w:cs="Arial"/>
          <w:szCs w:val="21"/>
        </w:rPr>
        <w:t>化疗用药提示参考最高证据等级的用药提示进行综合判读，将常用化疗药物初步划分为推荐</w:t>
      </w:r>
      <w:r>
        <w:rPr>
          <w:rFonts w:hint="eastAsia" w:hAnsi="等线" w:cs="Arial"/>
          <w:szCs w:val="21"/>
        </w:rPr>
        <w:t>使用</w:t>
      </w:r>
      <w:r>
        <w:rPr>
          <w:rFonts w:hAnsi="等线" w:cs="Arial"/>
          <w:szCs w:val="21"/>
        </w:rPr>
        <w:t>、</w:t>
      </w:r>
      <w:r>
        <w:rPr>
          <w:rFonts w:hint="eastAsia" w:hAnsi="等线" w:cs="Arial"/>
          <w:szCs w:val="21"/>
        </w:rPr>
        <w:t>常规使用</w:t>
      </w:r>
      <w:r>
        <w:rPr>
          <w:rFonts w:hAnsi="等线" w:cs="Arial"/>
          <w:szCs w:val="21"/>
        </w:rPr>
        <w:t>和</w:t>
      </w:r>
      <w:r>
        <w:rPr>
          <w:rFonts w:hint="eastAsia" w:hAnsi="等线" w:cs="Arial"/>
          <w:szCs w:val="21"/>
        </w:rPr>
        <w:t>谨慎使用</w:t>
      </w:r>
      <w:r>
        <w:rPr>
          <w:rFonts w:hAnsi="等线" w:cs="Arial"/>
          <w:szCs w:val="21"/>
        </w:rPr>
        <w:t>，仅供医生参考，具体的治疗方案须由临床医生根据实际情况而决定。</w:t>
      </w: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194"/>
        <w:gridCol w:w="1435"/>
        <w:gridCol w:w="2298"/>
        <w:gridCol w:w="1194"/>
        <w:gridCol w:w="1435"/>
        <w:gridCol w:w="2291"/>
        <w:gridCol w:w="8"/>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blHeader/>
        </w:trPr>
        <w:tc>
          <w:tcPr>
            <w:tcW w:w="1194"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序号</w:t>
            </w:r>
          </w:p>
        </w:tc>
        <w:tc>
          <w:tcPr>
            <w:tcW w:w="1435"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药物名称</w:t>
            </w:r>
          </w:p>
        </w:tc>
        <w:tc>
          <w:tcPr>
            <w:tcW w:w="2298"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Ansi="等线"/>
                <w:b/>
                <w:bCs/>
                <w:color w:val="FFFFFF"/>
                <w:szCs w:val="21"/>
              </w:rPr>
              <w:t>用药</w:t>
            </w:r>
            <w:r>
              <w:rPr>
                <w:rFonts w:hint="eastAsia" w:hAnsi="等线"/>
                <w:b/>
                <w:bCs/>
                <w:color w:val="FFFFFF"/>
                <w:szCs w:val="21"/>
              </w:rPr>
              <w:t>提示</w:t>
            </w:r>
          </w:p>
        </w:tc>
        <w:tc>
          <w:tcPr>
            <w:tcW w:w="1194"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序号</w:t>
            </w:r>
          </w:p>
        </w:tc>
        <w:tc>
          <w:tcPr>
            <w:tcW w:w="1435"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药物名称</w:t>
            </w:r>
          </w:p>
        </w:tc>
        <w:tc>
          <w:tcPr>
            <w:tcW w:w="2299" w:type="dxa"/>
            <w:gridSpan w:val="2"/>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Ansi="等线"/>
                <w:b/>
                <w:bCs/>
                <w:color w:val="FFFFFF"/>
                <w:szCs w:val="21"/>
              </w:rPr>
              <w:t>用药</w:t>
            </w:r>
            <w:r>
              <w:rPr>
                <w:rFonts w:hint="eastAsia" w:hAnsi="等线"/>
                <w:b/>
                <w:bCs/>
                <w:color w:val="FFFFFF"/>
                <w:szCs w:val="21"/>
              </w:rPr>
              <w:t>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环磷酰胺</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疗效较好</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2</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卡铂</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3</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奥沙利铂</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疗效较好,毒副较高</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4</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顺铂</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5</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卡培他滨</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6</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替加氟</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7</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替吉奥</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8</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氟尿嘧啶</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9</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吉西他滨</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10</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培美曲塞</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11</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甲氨蝶呤</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毒副一般</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12</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伊立替康</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13</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依托泊苷</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14</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多西他赛</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疗效较差,毒副较低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15</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紫杉醇</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疗效较好,毒副较低</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16</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长春新碱</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17</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长春瑞滨</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疗效较差</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18</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丝裂霉素</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19</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多柔比星</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疗效较好,毒副较高</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20</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表柔比星</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疗效较好,毒副一般</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b w:val="0"/>
                <w:bCs w:val="0"/>
                <w:sz w:val="20"/>
                <w:szCs w:val="20"/>
                <w:lang w:val="en-US" w:eastAsia="zh-CN" w:bidi="ar"/>
              </w:rPr>
            </w:pPr>
            <w:r>
              <w:rPr>
                <w:rFonts w:hint="eastAsia" w:hAnsi="等线" w:cs="等线"/>
                <w:b w:val="0"/>
                <w:bCs w:val="0"/>
                <w:sz w:val="20"/>
                <w:szCs w:val="20"/>
                <w:lang w:val="en-US" w:eastAsia="zh-CN" w:bidi="ar"/>
              </w:rPr>
              <w:t xml:space="preserve">21</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昂丹司琼</w:t>
            </w:r>
          </w:p>
        </w:tc>
        <w:tc>
          <w:tcPr>
            <w:tcW w:w="229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cs="等线"/>
                <w:sz w:val="20"/>
                <w:szCs w:val="20"/>
                <w:lang w:bidi="ar"/>
              </w:rPr>
            </w:pPr>
            <w:r>
              <w:rPr>
                <w:rFonts w:hint="eastAsia" w:hAnsi="等线" w:cs="等线"/>
                <w:b w:val="0"/>
                <w:bCs w:val="0"/>
                <w:sz w:val="20"/>
                <w:szCs w:val="20"/>
                <w:lang w:val="en-US" w:eastAsia="zh-CN" w:bidi="ar"/>
              </w:rPr>
              <w:t xml:space="preserve">疗效较好</w:t>
            </w:r>
          </w:p>
        </w:tc>
        <w:tc>
          <w:tcPr>
            <w:tcW w:w="11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default" w:hAnsi="等线" w:cs="等线"/>
                <w:sz w:val="20"/>
                <w:szCs w:val="20"/>
                <w:lang w:val="en-US" w:eastAsia="zh-CN" w:bidi="ar"/>
              </w:rPr>
            </w:pPr>
            <w:r>
              <w:rPr>
                <w:rFonts w:hint="eastAsia" w:hAnsi="等线" w:cs="等线"/>
                <w:b w:val="0"/>
                <w:bCs w:val="0"/>
                <w:sz w:val="20"/>
                <w:szCs w:val="20"/>
                <w:lang w:val="en-US" w:eastAsia="zh-CN" w:bidi="ar"/>
              </w:rPr>
              <w:t xml:space="preserve">22</w:t>
            </w:r>
          </w:p>
        </w:tc>
        <w:tc>
          <w:tcPr>
            <w:tcW w:w="1435"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格拉司琼</w:t>
            </w:r>
          </w:p>
        </w:tc>
        <w:tc>
          <w:tcPr>
            <w:tcW w:w="2299"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疗效较好</w:t>
            </w:r>
          </w:p>
        </w:tc>
      </w:tr>
      <w:bookmarkEnd w:id="69"/>
    </w:tbl>
    <w:p>
      <w:pPr>
        <w:rPr>
          <w:rFonts w:hAnsi="等线"/>
          <w:szCs w:val="21"/>
        </w:rPr>
      </w:pPr>
    </w:p>
    <w:p>
      <w:pPr>
        <w:rPr>
          <w:rFonts w:hAnsi="等线"/>
          <w:szCs w:val="21"/>
        </w:rPr>
      </w:pPr>
    </w:p>
    <w:p>
      <w:pPr>
        <w:snapToGrid w:val="0"/>
        <w:spacing w:after="156" w:afterLines="50"/>
        <w:jc w:val="left"/>
        <w:rPr>
          <w:rFonts w:hAnsi="等线"/>
          <w:b/>
          <w:bCs/>
          <w:szCs w:val="21"/>
        </w:rPr>
      </w:pPr>
      <w:bookmarkStart w:id="70" w:name="_Hlk93490110"/>
      <w:r>
        <w:rPr>
          <w:rFonts w:hint="eastAsia" w:hAnsi="等线"/>
          <w:b/>
          <w:bCs/>
          <w:szCs w:val="21"/>
        </w:rPr>
        <w:t>说明：</w:t>
      </w:r>
    </w:p>
    <w:bookmarkEnd w:id="70"/>
    <w:p>
      <w:pPr>
        <w:snapToGrid w:val="0"/>
        <w:spacing w:line="300" w:lineRule="auto"/>
        <w:jc w:val="left"/>
        <w:rPr>
          <w:rFonts w:hAnsi="等线"/>
          <w:sz w:val="18"/>
          <w:szCs w:val="18"/>
        </w:rPr>
      </w:pPr>
      <w:r>
        <w:rPr>
          <w:rFonts w:hint="eastAsia" w:hAnsi="等线"/>
          <w:sz w:val="18"/>
          <w:szCs w:val="18"/>
        </w:rPr>
        <w:t>一种化疗药物的疗效或者毒副作用通常受多个基因的单核苷酸多态性（</w:t>
      </w:r>
      <w:r>
        <w:rPr>
          <w:rFonts w:hAnsi="等线"/>
          <w:sz w:val="18"/>
          <w:szCs w:val="18"/>
        </w:rPr>
        <w:t>SNP）的影响。化疗药物</w:t>
      </w:r>
      <w:r>
        <w:rPr>
          <w:rFonts w:hint="eastAsia" w:hAnsi="等线"/>
          <w:sz w:val="18"/>
          <w:szCs w:val="18"/>
        </w:rPr>
        <w:t>的使用综合考虑了其疗效和毒副作用</w:t>
      </w:r>
      <w:r>
        <w:rPr>
          <w:rFonts w:hint="eastAsia" w:hAnsi="等线" w:cs="Arial"/>
          <w:sz w:val="18"/>
          <w:szCs w:val="18"/>
        </w:rPr>
        <w:t>风险</w:t>
      </w:r>
      <w:r>
        <w:rPr>
          <w:rFonts w:hint="eastAsia" w:hAnsi="等线"/>
          <w:sz w:val="18"/>
          <w:szCs w:val="18"/>
        </w:rPr>
        <w:t>情况。某些化疗药物仅有疗效的研究结论或者仅有毒副作用</w:t>
      </w:r>
      <w:r>
        <w:rPr>
          <w:rFonts w:hint="eastAsia" w:hAnsi="等线" w:cs="Arial"/>
          <w:sz w:val="18"/>
          <w:szCs w:val="18"/>
        </w:rPr>
        <w:t>风险</w:t>
      </w:r>
      <w:r>
        <w:rPr>
          <w:rFonts w:hint="eastAsia" w:hAnsi="等线"/>
          <w:sz w:val="18"/>
          <w:szCs w:val="18"/>
        </w:rPr>
        <w:t>的研究结论，则以单一指标作为参考。针对本报告，可参考以下用药提示信息：</w:t>
      </w:r>
    </w:p>
    <w:p>
      <w:pPr>
        <w:pStyle w:val="38"/>
        <w:numPr>
          <w:ilvl w:val="0"/>
          <w:numId w:val="4"/>
        </w:numPr>
        <w:snapToGrid w:val="0"/>
        <w:spacing w:line="300" w:lineRule="auto"/>
        <w:ind w:firstLineChars="0"/>
        <w:jc w:val="left"/>
        <w:rPr>
          <w:rFonts w:hAnsi="等线"/>
          <w:sz w:val="18"/>
          <w:szCs w:val="18"/>
        </w:rPr>
      </w:pPr>
      <w:r>
        <w:rPr>
          <w:rFonts w:hAnsi="等线" w:cs="Arial"/>
          <w:sz w:val="18"/>
          <w:szCs w:val="18"/>
        </w:rPr>
        <w:t>推荐</w:t>
      </w:r>
      <w:r>
        <w:rPr>
          <w:rFonts w:hint="eastAsia" w:hAnsi="等线" w:cs="Arial"/>
          <w:sz w:val="18"/>
          <w:szCs w:val="18"/>
          <w:lang w:val="en-US" w:eastAsia="zh-CN"/>
        </w:rPr>
        <w:t>药物</w:t>
      </w:r>
      <w:r>
        <w:rPr>
          <w:rFonts w:hint="eastAsia" w:hAnsi="等线" w:cs="Arial"/>
          <w:sz w:val="18"/>
          <w:szCs w:val="18"/>
        </w:rPr>
        <w:t>：综合用药提示疗效较好且</w:t>
      </w:r>
      <w:r>
        <w:rPr>
          <w:rFonts w:hint="eastAsia" w:hAnsi="等线" w:cs="Arial"/>
          <w:sz w:val="18"/>
          <w:szCs w:val="18"/>
          <w:lang w:eastAsia="zh-CN"/>
        </w:rPr>
        <w:t>毒副</w:t>
      </w:r>
      <w:r>
        <w:rPr>
          <w:rFonts w:hint="eastAsia" w:hAnsi="等线" w:cs="Arial"/>
          <w:sz w:val="18"/>
          <w:szCs w:val="18"/>
        </w:rPr>
        <w:t>较低</w:t>
      </w:r>
      <w:r>
        <w:rPr>
          <w:rFonts w:hint="eastAsia" w:hAnsi="等线" w:cs="Arial"/>
          <w:sz w:val="18"/>
          <w:szCs w:val="18"/>
          <w:lang w:eastAsia="zh-CN"/>
        </w:rPr>
        <w:t>、</w:t>
      </w:r>
      <w:r>
        <w:rPr>
          <w:rFonts w:hint="eastAsia" w:hAnsi="等线" w:cs="Arial"/>
          <w:sz w:val="18"/>
          <w:szCs w:val="18"/>
        </w:rPr>
        <w:t>疗效较好且</w:t>
      </w:r>
      <w:r>
        <w:rPr>
          <w:rFonts w:hint="eastAsia" w:hAnsi="等线" w:cs="Arial"/>
          <w:sz w:val="18"/>
          <w:szCs w:val="18"/>
          <w:lang w:eastAsia="zh-CN"/>
        </w:rPr>
        <w:t>毒副一般</w:t>
      </w:r>
      <w:r>
        <w:rPr>
          <w:rFonts w:hint="eastAsia" w:hAnsi="等线" w:cs="Arial"/>
          <w:sz w:val="18"/>
          <w:szCs w:val="18"/>
        </w:rPr>
        <w:t>、疗效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w:t>
      </w:r>
      <w:r>
        <w:rPr>
          <w:rFonts w:hint="eastAsia" w:hAnsi="等线" w:cs="Arial"/>
          <w:sz w:val="18"/>
          <w:szCs w:val="18"/>
        </w:rPr>
        <w:t>较低的化疗药物，以及单一用药提示疗效较好或</w:t>
      </w:r>
      <w:r>
        <w:rPr>
          <w:rFonts w:hint="eastAsia" w:hAnsi="等线" w:cs="Arial"/>
          <w:sz w:val="18"/>
          <w:szCs w:val="18"/>
          <w:lang w:eastAsia="zh-CN"/>
        </w:rPr>
        <w:t>毒副</w:t>
      </w:r>
      <w:r>
        <w:rPr>
          <w:rFonts w:hint="eastAsia" w:hAnsi="等线" w:cs="Arial"/>
          <w:sz w:val="18"/>
          <w:szCs w:val="18"/>
        </w:rPr>
        <w:t>较低的化疗药物。</w:t>
      </w:r>
    </w:p>
    <w:p>
      <w:pPr>
        <w:pStyle w:val="38"/>
        <w:numPr>
          <w:ilvl w:val="0"/>
          <w:numId w:val="4"/>
        </w:numPr>
        <w:snapToGrid w:val="0"/>
        <w:spacing w:line="300" w:lineRule="auto"/>
        <w:ind w:firstLineChars="0"/>
        <w:jc w:val="left"/>
        <w:rPr>
          <w:rFonts w:hAnsi="等线"/>
          <w:sz w:val="18"/>
          <w:szCs w:val="18"/>
        </w:rPr>
      </w:pPr>
      <w:r>
        <w:rPr>
          <w:rFonts w:hint="eastAsia" w:hAnsi="等线" w:cs="Arial"/>
          <w:sz w:val="18"/>
          <w:szCs w:val="18"/>
          <w:lang w:val="en-US" w:eastAsia="zh-CN"/>
        </w:rPr>
        <w:t>可选药物</w:t>
      </w:r>
      <w:r>
        <w:rPr>
          <w:rFonts w:hint="eastAsia" w:hAnsi="等线" w:cs="Arial"/>
          <w:sz w:val="18"/>
          <w:szCs w:val="18"/>
        </w:rPr>
        <w:t>：综合用药提示疗效较好但</w:t>
      </w:r>
      <w:r>
        <w:rPr>
          <w:rFonts w:hint="eastAsia" w:hAnsi="等线" w:cs="Arial"/>
          <w:sz w:val="18"/>
          <w:szCs w:val="18"/>
          <w:lang w:eastAsia="zh-CN"/>
        </w:rPr>
        <w:t>毒副</w:t>
      </w:r>
      <w:r>
        <w:rPr>
          <w:rFonts w:hint="eastAsia" w:hAnsi="等线" w:cs="Arial"/>
          <w:sz w:val="18"/>
          <w:szCs w:val="18"/>
        </w:rPr>
        <w:t>较高、疗效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毒副一般</w:t>
      </w:r>
      <w:r>
        <w:rPr>
          <w:rFonts w:hint="eastAsia" w:hAnsi="等线" w:cs="Arial"/>
          <w:sz w:val="18"/>
          <w:szCs w:val="18"/>
        </w:rPr>
        <w:t>、疗效较差但</w:t>
      </w:r>
      <w:r>
        <w:rPr>
          <w:rFonts w:hint="eastAsia" w:hAnsi="等线" w:cs="Arial"/>
          <w:sz w:val="18"/>
          <w:szCs w:val="18"/>
          <w:lang w:eastAsia="zh-CN"/>
        </w:rPr>
        <w:t>毒副</w:t>
      </w:r>
      <w:r>
        <w:rPr>
          <w:rFonts w:hint="eastAsia" w:hAnsi="等线" w:cs="Arial"/>
          <w:sz w:val="18"/>
          <w:szCs w:val="18"/>
        </w:rPr>
        <w:t>较低的化疗药物，以及单一用药提示疗效</w:t>
      </w:r>
      <w:r>
        <w:rPr>
          <w:rFonts w:hint="eastAsia" w:hAnsi="等线" w:cs="Arial"/>
          <w:sz w:val="18"/>
          <w:szCs w:val="18"/>
          <w:lang w:eastAsia="zh-CN"/>
        </w:rPr>
        <w:t>一般</w:t>
      </w:r>
      <w:r>
        <w:rPr>
          <w:rFonts w:hint="eastAsia" w:hAnsi="等线" w:cs="Arial"/>
          <w:sz w:val="18"/>
          <w:szCs w:val="18"/>
        </w:rPr>
        <w:t>或</w:t>
      </w:r>
      <w:r>
        <w:rPr>
          <w:rFonts w:hint="eastAsia" w:hAnsi="等线" w:cs="Arial"/>
          <w:sz w:val="18"/>
          <w:szCs w:val="18"/>
          <w:lang w:eastAsia="zh-CN"/>
        </w:rPr>
        <w:t>毒副一般</w:t>
      </w:r>
      <w:r>
        <w:rPr>
          <w:rFonts w:hint="eastAsia" w:hAnsi="等线" w:cs="Arial"/>
          <w:sz w:val="18"/>
          <w:szCs w:val="18"/>
        </w:rPr>
        <w:t>的化疗药物。</w:t>
      </w:r>
    </w:p>
    <w:p>
      <w:pPr>
        <w:pStyle w:val="38"/>
        <w:numPr>
          <w:ilvl w:val="0"/>
          <w:numId w:val="4"/>
        </w:numPr>
        <w:snapToGrid w:val="0"/>
        <w:spacing w:line="300" w:lineRule="auto"/>
        <w:ind w:firstLineChars="0"/>
        <w:jc w:val="left"/>
        <w:rPr>
          <w:rFonts w:hAnsi="等线"/>
          <w:szCs w:val="21"/>
        </w:rPr>
      </w:pPr>
      <w:r>
        <w:rPr>
          <w:rFonts w:hint="eastAsia" w:hAnsi="等线" w:cs="Arial"/>
          <w:sz w:val="18"/>
          <w:szCs w:val="18"/>
          <w:lang w:val="en-US" w:eastAsia="zh-CN"/>
        </w:rPr>
        <w:t>慎用药物</w:t>
      </w:r>
      <w:r>
        <w:rPr>
          <w:rFonts w:hint="eastAsia" w:hAnsi="等线" w:cs="Arial"/>
          <w:sz w:val="18"/>
          <w:szCs w:val="18"/>
        </w:rPr>
        <w:t>：综合用药提示疗效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w:t>
      </w:r>
      <w:r>
        <w:rPr>
          <w:rFonts w:hint="eastAsia" w:hAnsi="等线" w:cs="Arial"/>
          <w:sz w:val="18"/>
          <w:szCs w:val="18"/>
        </w:rPr>
        <w:t>较高、疗效较差且</w:t>
      </w:r>
      <w:r>
        <w:rPr>
          <w:rFonts w:hint="eastAsia" w:hAnsi="等线" w:cs="Arial"/>
          <w:sz w:val="18"/>
          <w:szCs w:val="18"/>
          <w:lang w:eastAsia="zh-CN"/>
        </w:rPr>
        <w:t>毒副一般、</w:t>
      </w:r>
      <w:r>
        <w:rPr>
          <w:rFonts w:hint="eastAsia" w:hAnsi="等线" w:cs="Arial"/>
          <w:sz w:val="18"/>
          <w:szCs w:val="18"/>
        </w:rPr>
        <w:t>疗效较差且</w:t>
      </w:r>
      <w:r>
        <w:rPr>
          <w:rFonts w:hint="eastAsia" w:hAnsi="等线" w:cs="Arial"/>
          <w:sz w:val="18"/>
          <w:szCs w:val="18"/>
          <w:lang w:eastAsia="zh-CN"/>
        </w:rPr>
        <w:t>毒副</w:t>
      </w:r>
      <w:r>
        <w:rPr>
          <w:rFonts w:hint="eastAsia" w:hAnsi="等线" w:cs="Arial"/>
          <w:sz w:val="18"/>
          <w:szCs w:val="18"/>
        </w:rPr>
        <w:t>较高的化疗药物，以及单一用药提示疗效较差或</w:t>
      </w:r>
      <w:r>
        <w:rPr>
          <w:rFonts w:hint="eastAsia" w:hAnsi="等线" w:cs="Arial"/>
          <w:sz w:val="18"/>
          <w:szCs w:val="18"/>
          <w:lang w:eastAsia="zh-CN"/>
        </w:rPr>
        <w:t>毒副</w:t>
      </w:r>
      <w:r>
        <w:rPr>
          <w:rFonts w:hint="eastAsia" w:hAnsi="等线" w:cs="Arial"/>
          <w:sz w:val="18"/>
          <w:szCs w:val="18"/>
        </w:rPr>
        <w:t>较高的化疗药物。</w:t>
      </w:r>
    </w:p>
    <w:p>
      <w:pPr>
        <w:pStyle w:val="38"/>
        <w:numPr>
          <w:ilvl w:val="0"/>
          <w:numId w:val="4"/>
        </w:numPr>
        <w:snapToGrid w:val="0"/>
        <w:spacing w:line="300" w:lineRule="auto"/>
        <w:ind w:firstLineChars="0"/>
        <w:jc w:val="left"/>
        <w:rPr>
          <w:rFonts w:hAnsi="等线" w:cs="Arial"/>
          <w:sz w:val="18"/>
          <w:szCs w:val="18"/>
        </w:rPr>
      </w:pPr>
      <w:r>
        <w:rPr>
          <w:rFonts w:hint="eastAsia" w:hAnsi="等线" w:cs="Arial"/>
          <w:sz w:val="18"/>
          <w:szCs w:val="18"/>
        </w:rPr>
        <w:t>对于有临床指南指导用药的化疗药物（如氟尿嘧啶等），综合用药提示以临床指南给出的用药建议为主要依据。</w:t>
      </w:r>
    </w:p>
    <w:p>
      <w:bookmarkStart w:id="71" w:name="化疗用药具体评估"/>
      <w:bookmarkEnd w:id="71"/>
    </w:p>
    <w:p/>
    <w:p/>
    <w:p>
      <w:pPr>
        <w:spacing w:line="360" w:lineRule="auto"/>
        <w:ind w:firstLine="840" w:firstLineChars="300"/>
        <w:jc w:val="left"/>
        <w:outlineLvl w:val="2"/>
        <w:rPr>
          <w:rFonts w:hAnsi="等线" w:cs="Arial"/>
          <w:b/>
          <w:bCs/>
          <w:color w:val="3FC0C1"/>
          <w:sz w:val="28"/>
          <w:szCs w:val="28"/>
        </w:rPr>
      </w:pPr>
      <w:r>
        <w:rPr>
          <w:rFonts w:hint="eastAsia" w:hAnsi="等线" w:cs="Arial"/>
          <w:b/>
          <w:bCs/>
          <w:color w:val="3FC0C1"/>
          <w:sz w:val="28"/>
          <w:szCs w:val="28"/>
        </w:rPr>
        <w:drawing>
          <wp:anchor distT="0" distB="0" distL="114300" distR="114300" simplePos="0" relativeHeight="251695104" behindDoc="0" locked="0" layoutInCell="1" allowOverlap="1">
            <wp:simplePos x="0" y="0"/>
            <wp:positionH relativeFrom="column">
              <wp:posOffset>175260</wp:posOffset>
            </wp:positionH>
            <wp:positionV relativeFrom="paragraph">
              <wp:posOffset>48895</wp:posOffset>
            </wp:positionV>
            <wp:extent cx="274955" cy="277495"/>
            <wp:effectExtent l="0" t="0" r="0" b="8255"/>
            <wp:wrapNone/>
            <wp:docPr id="1033" name="图片 27"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D:\解码\4x\资源 2@45.png资源 2@45"/>
                    <pic:cNvPicPr>
                      <a:picLocks noChangeAspect="1"/>
                    </pic:cNvPicPr>
                  </pic:nvPicPr>
                  <pic:blipFill>
                    <a:blip r:embed="rId14">
                      <a:duotone>
                        <a:prstClr val="black"/>
                        <a:srgbClr val="F18E2D">
                          <a:tint val="45000"/>
                          <a:satMod val="400000"/>
                        </a:srgbClr>
                      </a:duotone>
                    </a:blip>
                    <a:srcRect/>
                    <a:stretch>
                      <a:fillRect/>
                    </a:stretch>
                  </pic:blipFill>
                  <pic:spPr>
                    <a:xfrm>
                      <a:off x="0" y="0"/>
                      <a:ext cx="274955" cy="277495"/>
                    </a:xfrm>
                    <a:prstGeom prst="rect">
                      <a:avLst/>
                    </a:prstGeom>
                  </pic:spPr>
                </pic:pic>
              </a:graphicData>
            </a:graphic>
          </wp:anchor>
        </w:drawing>
      </w:r>
      <w:r>
        <w:rPr>
          <w:rFonts w:hAnsi="等线" w:cs="Arial"/>
          <w:b/>
          <w:bCs/>
          <w:color w:val="F18E2D"/>
          <w:sz w:val="28"/>
          <w:szCs w:val="28"/>
        </w:rPr>
        <w:t>化疗用药</w:t>
      </w:r>
      <w:r>
        <w:rPr>
          <w:rFonts w:hint="eastAsia" w:hAnsi="等线" w:cs="Arial"/>
          <w:b/>
          <w:bCs/>
          <w:color w:val="F18E2D"/>
          <w:sz w:val="28"/>
          <w:szCs w:val="28"/>
        </w:rPr>
        <w:t>具体评估</w:t>
      </w:r>
    </w:p>
    <w:p/>
    <w:p>
      <w:pPr>
        <w:spacing w:line="360" w:lineRule="auto"/>
        <w:ind w:firstLine="420" w:firstLineChars="200"/>
        <w:jc w:val="left"/>
        <w:rPr>
          <w:rFonts w:hAnsi="等线" w:cs="Arial"/>
          <w:color w:val="000000"/>
          <w:szCs w:val="21"/>
        </w:rPr>
      </w:pPr>
      <w:r>
        <w:rPr>
          <w:rFonts w:hAnsi="等线" w:cs="Arial"/>
          <w:color w:val="000000"/>
          <w:szCs w:val="21"/>
        </w:rPr>
        <w:t>人群基因</w:t>
      </w:r>
      <w:r>
        <w:rPr>
          <w:rFonts w:hint="eastAsia" w:hAnsi="等线" w:cs="Arial"/>
          <w:color w:val="000000"/>
          <w:szCs w:val="21"/>
        </w:rPr>
        <w:t>位点</w:t>
      </w:r>
      <w:r>
        <w:rPr>
          <w:rFonts w:hAnsi="等线" w:cs="Arial"/>
          <w:color w:val="000000"/>
          <w:szCs w:val="21"/>
        </w:rPr>
        <w:t>多态性造成相关代谢蛋白功能差异，使化学治疗药物的有效性和毒副作用产生差异，因此进行多态性基因</w:t>
      </w:r>
      <w:r>
        <w:rPr>
          <w:rFonts w:hint="eastAsia" w:hAnsi="等线" w:cs="Arial"/>
          <w:color w:val="000000"/>
          <w:szCs w:val="21"/>
        </w:rPr>
        <w:t>位点</w:t>
      </w:r>
      <w:r>
        <w:rPr>
          <w:rFonts w:hAnsi="等线" w:cs="Arial"/>
          <w:color w:val="000000"/>
          <w:szCs w:val="21"/>
        </w:rPr>
        <w:t>检测可以为化疗用药提供参考。患者基因</w:t>
      </w:r>
      <w:r>
        <w:rPr>
          <w:rFonts w:hint="eastAsia" w:hAnsi="等线" w:cs="Arial"/>
          <w:color w:val="000000"/>
          <w:szCs w:val="21"/>
        </w:rPr>
        <w:t>位点</w:t>
      </w:r>
      <w:r>
        <w:rPr>
          <w:rFonts w:hAnsi="等线" w:cs="Arial"/>
          <w:color w:val="000000"/>
          <w:szCs w:val="21"/>
        </w:rPr>
        <w:t>多态性信息与化学治疗药物有效性和毒副作用</w:t>
      </w:r>
      <w:r>
        <w:rPr>
          <w:rFonts w:hint="eastAsia" w:hAnsi="等线" w:cs="Arial"/>
          <w:color w:val="000000"/>
          <w:szCs w:val="21"/>
        </w:rPr>
        <w:t>风险</w:t>
      </w:r>
      <w:r>
        <w:rPr>
          <w:rFonts w:hAnsi="等线" w:cs="Arial"/>
          <w:color w:val="000000"/>
          <w:szCs w:val="21"/>
        </w:rPr>
        <w:t>评估如下表所示。</w:t>
      </w:r>
    </w:p>
    <w:p>
      <w:pPr>
        <w:jc w:val="left"/>
        <w:rPr>
          <w:rFonts w:hAnsi="等线" w:cs="Arial"/>
          <w:color w:val="000000"/>
          <w:sz w:val="18"/>
          <w:szCs w:val="18"/>
        </w:rPr>
      </w:pP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644"/>
        <w:gridCol w:w="1143"/>
        <w:gridCol w:w="1385"/>
        <w:gridCol w:w="1678"/>
        <w:gridCol w:w="1672"/>
        <w:gridCol w:w="2333"/>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blHeader/>
        </w:trPr>
        <w:tc>
          <w:tcPr>
            <w:tcW w:w="1673"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药物</w:t>
            </w:r>
          </w:p>
        </w:tc>
        <w:tc>
          <w:tcPr>
            <w:tcW w:w="1162"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检测</w:t>
            </w:r>
            <w:r>
              <w:rPr>
                <w:rFonts w:hint="eastAsia" w:hAnsi="等线" w:cs="Arial"/>
                <w:b/>
                <w:bCs/>
                <w:color w:val="FFFFFF"/>
                <w:szCs w:val="21"/>
              </w:rPr>
              <w:t>基因</w:t>
            </w:r>
          </w:p>
        </w:tc>
        <w:tc>
          <w:tcPr>
            <w:tcW w:w="1409"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检测位点</w:t>
            </w:r>
          </w:p>
        </w:tc>
        <w:tc>
          <w:tcPr>
            <w:tcW w:w="1708"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基因型</w:t>
            </w:r>
          </w:p>
        </w:tc>
        <w:tc>
          <w:tcPr>
            <w:tcW w:w="1702"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证据等级</w:t>
            </w:r>
          </w:p>
        </w:tc>
        <w:tc>
          <w:tcPr>
            <w:tcW w:w="2375"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 xml:space="preserve">用药提示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丝裂霉素</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NQO1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rs1800566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伊立替康</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UGT1A1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rs3064744</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TA[6]/TA[6]</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1A/1B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UGT1A1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rs4148323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1A/1B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依托泊苷</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DYNC2H1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rs716274</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卡培他滨</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rs115232898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rs1801266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rs1801268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rs72549303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rs72549309</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ATGA/ATGA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卡铂</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ERCC1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rs11615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XRCC1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rs25487</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2B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吉西他滨</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CDA</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rs2072671</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培美曲塞</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MTHFR</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rs1801133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TYMS</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rs11280056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TTAAAG/del</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多柔比星</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rs2032582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HAS3</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rs2232228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多西他赛</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CASP7</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rs2227310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CYP3A4</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rs2740574</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奥沙利铂</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XRCC1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rs25487</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2B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ERCC2</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rs13181</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ERCC1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rs11615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昂丹司琼</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rs2032582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rs1045642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替加氟</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替吉奥</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格拉司琼</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rs1045642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氟尿嘧啶</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rs72549303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TYMS</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rs11280056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TTAAAG/del</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NQO1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rs1800566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rs72549309</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ATGA/ATGA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rs1801266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rs1801268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rs115232898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环磷酰胺</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SOD2</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rs4880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疗效居中</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甲氨蝶呤</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MTHFR</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rs1801133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2A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毒副居中</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紫杉醇</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CYP2C8</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rs11572080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rs2032582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表柔比星</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NQO1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rs1800566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HAS3</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rs2232228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长春新碱</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rs1045642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长春瑞滨</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CASP7</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rs2227310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顺铂</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XRCC1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rs25487</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2B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XPC</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rs2228001</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TPMT</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rs1142345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int="eastAsia" w:hAnsi="等线" w:eastAsia="等线" w:cs="Arial"/>
                <w:b w:val="0"/>
                <w:bCs w:val="0"/>
                <w:sz w:val="20"/>
                <w:szCs w:val="20"/>
                <w:lang w:eastAsia="zh-CN"/>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ERCC1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rs11615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sz w:val="20"/>
                <w:szCs w:val="20"/>
                <w:lang w:eastAsia="zh-CN"/>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int="eastAsia" w:hAnsi="等线" w:eastAsia="等线" w:cs="Arial"/>
                <w:color w:val="000000"/>
                <w:sz w:val="20"/>
                <w:szCs w:val="20"/>
                <w:lang w:eastAsia="zh-CN"/>
              </w:rPr>
            </w:pPr>
            <w:r>
              <w:rPr>
                <w:rFonts w:hint="eastAsia" w:hAnsi="等线" w:cs="Arial"/>
                <w:sz w:val="20"/>
                <w:szCs w:val="20"/>
                <w:lang w:bidi="ar"/>
              </w:rPr>
              <w:t xml:space="preserve">毒副较高</w:t>
            </w:r>
          </w:p>
        </w:tc>
      </w:tr>
    </w:tbl>
    <w:p>
      <w:pPr>
        <w:rPr>
          <w:rFonts w:hAnsi="等线"/>
        </w:rPr>
      </w:pPr>
    </w:p>
    <w:p>
      <w:pPr>
        <w:snapToGrid w:val="0"/>
        <w:spacing w:after="156" w:afterLines="50"/>
        <w:jc w:val="left"/>
        <w:rPr>
          <w:rFonts w:hAnsi="等线"/>
          <w:b/>
          <w:bCs/>
          <w:szCs w:val="21"/>
        </w:rPr>
      </w:pPr>
      <w:r>
        <w:rPr>
          <w:rFonts w:hint="eastAsia" w:hAnsi="等线"/>
          <w:b/>
          <w:bCs/>
          <w:szCs w:val="21"/>
        </w:rPr>
        <w:t>说明：</w:t>
      </w:r>
    </w:p>
    <w:p>
      <w:pPr>
        <w:pStyle w:val="38"/>
        <w:numPr>
          <w:ilvl w:val="0"/>
          <w:numId w:val="5"/>
        </w:numPr>
        <w:spacing w:line="360" w:lineRule="auto"/>
        <w:ind w:firstLineChars="0"/>
        <w:rPr>
          <w:rFonts w:hAnsi="等线"/>
          <w:sz w:val="18"/>
          <w:szCs w:val="18"/>
        </w:rPr>
      </w:pPr>
      <w:r>
        <w:rPr>
          <w:rFonts w:hint="eastAsia" w:hAnsi="等线"/>
          <w:sz w:val="18"/>
          <w:szCs w:val="18"/>
        </w:rPr>
        <w:t>基因名称均采用人类基因命名委员会（</w:t>
      </w:r>
      <w:r>
        <w:rPr>
          <w:rFonts w:hAnsi="等线"/>
          <w:sz w:val="18"/>
          <w:szCs w:val="18"/>
        </w:rPr>
        <w:t>HGNC）官方命名</w:t>
      </w:r>
      <w:r>
        <w:rPr>
          <w:rFonts w:hint="eastAsia" w:hAnsi="等线"/>
          <w:sz w:val="18"/>
          <w:szCs w:val="18"/>
        </w:rPr>
        <w:t>。</w:t>
      </w:r>
    </w:p>
    <w:p>
      <w:pPr>
        <w:pStyle w:val="38"/>
        <w:numPr>
          <w:ilvl w:val="0"/>
          <w:numId w:val="5"/>
        </w:numPr>
        <w:snapToGrid w:val="0"/>
        <w:spacing w:line="360" w:lineRule="auto"/>
        <w:ind w:firstLineChars="0"/>
        <w:jc w:val="left"/>
        <w:rPr>
          <w:rFonts w:hAnsi="等线"/>
          <w:sz w:val="18"/>
          <w:szCs w:val="18"/>
        </w:rPr>
      </w:pPr>
      <w:r>
        <w:rPr>
          <w:rFonts w:hint="eastAsia" w:hAnsi="等线" w:cs="Arial"/>
          <w:sz w:val="18"/>
          <w:szCs w:val="18"/>
        </w:rPr>
        <w:t>检测位点（rs</w:t>
      </w:r>
      <w:r>
        <w:rPr>
          <w:rFonts w:hAnsi="等线" w:cs="Arial"/>
          <w:sz w:val="18"/>
          <w:szCs w:val="18"/>
        </w:rPr>
        <w:t>号</w:t>
      </w:r>
      <w:r>
        <w:rPr>
          <w:rFonts w:hint="eastAsia" w:hAnsi="等线" w:cs="Arial"/>
          <w:sz w:val="18"/>
          <w:szCs w:val="18"/>
        </w:rPr>
        <w:t>）：NCBI里对所有提交的SNP进行分类考证之后都会给出一个rs号（也可称作参考SNP），并给出SNP的具体信息，包括前后序列、位置信息以及分布频率。</w:t>
      </w:r>
    </w:p>
    <w:p>
      <w:pPr>
        <w:pStyle w:val="38"/>
        <w:numPr>
          <w:ilvl w:val="0"/>
          <w:numId w:val="5"/>
        </w:numPr>
        <w:snapToGrid w:val="0"/>
        <w:spacing w:line="360" w:lineRule="auto"/>
        <w:ind w:firstLineChars="0"/>
        <w:jc w:val="left"/>
        <w:rPr>
          <w:rFonts w:hAnsi="等线"/>
          <w:sz w:val="18"/>
          <w:szCs w:val="18"/>
        </w:rPr>
      </w:pPr>
      <w:r>
        <w:rPr>
          <w:rFonts w:hint="eastAsia" w:hAnsi="等线"/>
          <w:sz w:val="18"/>
          <w:szCs w:val="18"/>
        </w:rPr>
        <w:t>证据等级（</w:t>
      </w:r>
      <w:r>
        <w:rPr>
          <w:rFonts w:hAnsi="等线"/>
          <w:sz w:val="18"/>
          <w:szCs w:val="18"/>
        </w:rPr>
        <w:t>Level</w:t>
      </w:r>
      <w:r>
        <w:rPr>
          <w:rFonts w:hint="eastAsia" w:hAnsi="等线"/>
          <w:sz w:val="18"/>
          <w:szCs w:val="18"/>
        </w:rPr>
        <w:t>）</w:t>
      </w:r>
      <w:r>
        <w:rPr>
          <w:rFonts w:hAnsi="等线"/>
          <w:sz w:val="18"/>
          <w:szCs w:val="18"/>
        </w:rPr>
        <w:t>的划分：依据PharmGKB</w:t>
      </w:r>
      <w:r>
        <w:rPr>
          <w:rFonts w:hint="eastAsia" w:hAnsi="等线"/>
          <w:sz w:val="18"/>
          <w:szCs w:val="18"/>
        </w:rPr>
        <w:t>数据库</w:t>
      </w:r>
      <w:r>
        <w:fldChar w:fldCharType="begin"/>
      </w:r>
      <w:r>
        <w:instrText xml:space="preserve"> HYPERLINK "http://www.pharmgkb.org/page/clinAnnLevels" </w:instrText>
      </w:r>
      <w:r>
        <w:fldChar w:fldCharType="separate"/>
      </w:r>
      <w:r>
        <w:rPr>
          <w:rStyle w:val="25"/>
          <w:rFonts w:hAnsi="等线"/>
          <w:sz w:val="18"/>
          <w:szCs w:val="18"/>
        </w:rPr>
        <w:t>http://www.pharmgkb.org/page/clinAnnLevels</w:t>
      </w:r>
      <w:r>
        <w:rPr>
          <w:rStyle w:val="25"/>
          <w:rFonts w:hAnsi="等线"/>
          <w:sz w:val="18"/>
          <w:szCs w:val="18"/>
        </w:rPr>
        <w:fldChar w:fldCharType="end"/>
      </w:r>
    </w:p>
    <w:p>
      <w:pPr>
        <w:pStyle w:val="38"/>
        <w:numPr>
          <w:ilvl w:val="1"/>
          <w:numId w:val="5"/>
        </w:numPr>
        <w:snapToGrid w:val="0"/>
        <w:spacing w:line="360" w:lineRule="auto"/>
        <w:ind w:firstLineChars="0"/>
        <w:jc w:val="left"/>
        <w:rPr>
          <w:rFonts w:hAnsi="等线"/>
          <w:sz w:val="18"/>
          <w:szCs w:val="18"/>
        </w:rPr>
      </w:pPr>
      <w:r>
        <w:rPr>
          <w:rFonts w:hAnsi="等线"/>
          <w:sz w:val="18"/>
          <w:szCs w:val="18"/>
        </w:rPr>
        <w:t>1A：注释基于被医学会认可的指南或经某些重大卫生系统认可的结论</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1B：注释基于多项有统计学显著性差异的研究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2A：注释基于多项得到重复的研究，故药效关系很有可能是有意义的</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2B：注释基于多项得到重复的研究，但某些研究可能无显著性统计学差异或样本数量少</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3：注释仅基于1项有显著差异的研究(未得到重复)或缺乏明显药效关联性的多项研究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4：注释仅基于少量病例、非权威研究或体外的分子功能研究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NA：无等级划分</w:t>
      </w:r>
      <w:r>
        <w:rPr>
          <w:rFonts w:hint="eastAsia" w:hAnsi="等线"/>
          <w:sz w:val="18"/>
          <w:szCs w:val="18"/>
        </w:rPr>
        <w:t>。</w:t>
      </w:r>
    </w:p>
    <w:p>
      <w:pPr>
        <w:rPr>
          <w:rFonts w:hAnsi="等线"/>
          <w:sz w:val="18"/>
          <w:szCs w:val="18"/>
        </w:rPr>
      </w:pPr>
      <w:r>
        <w:rPr>
          <w:rFonts w:hint="eastAsia" w:hAnsi="等线"/>
          <w:sz w:val="18"/>
          <w:szCs w:val="18"/>
        </w:rPr>
        <w:br w:type="page"/>
      </w:r>
    </w:p>
    <w:p>
      <w:pPr>
        <w:adjustRightInd w:val="0"/>
        <w:snapToGrid w:val="0"/>
        <w:jc w:val="left"/>
        <w:outlineLvl w:val="1"/>
        <w:rPr>
          <w:rFonts w:hAnsi="等线" w:cs="Arial"/>
          <w:b/>
          <w:bCs/>
          <w:color w:val="00B0F0"/>
          <w:szCs w:val="28"/>
        </w:rPr>
      </w:pPr>
      <w:bookmarkStart w:id="72" w:name="遗传性结直肠癌基因检测结果"/>
      <w:bookmarkEnd w:id="72"/>
      <w:r>
        <mc:AlternateContent>
          <mc:Choice Requires="wps">
            <w:drawing>
              <wp:anchor distT="0" distB="0" distL="114300" distR="114300" simplePos="0" relativeHeight="251708416" behindDoc="0" locked="0" layoutInCell="1" allowOverlap="1">
                <wp:simplePos x="0" y="0"/>
                <wp:positionH relativeFrom="column">
                  <wp:posOffset>1197610</wp:posOffset>
                </wp:positionH>
                <wp:positionV relativeFrom="paragraph">
                  <wp:posOffset>-259715</wp:posOffset>
                </wp:positionV>
                <wp:extent cx="3909695" cy="636905"/>
                <wp:effectExtent l="0" t="0" r="0" b="0"/>
                <wp:wrapNone/>
                <wp:docPr id="1034" name="文本框 87"/>
                <wp:cNvGraphicFramePr/>
                <a:graphic xmlns:a="http://schemas.openxmlformats.org/drawingml/2006/main">
                  <a:graphicData uri="http://schemas.microsoft.com/office/word/2010/wordprocessingShape">
                    <wps:wsp>
                      <wps:cNvSpPr txBox="1"/>
                      <wps:spPr>
                        <a:xfrm>
                          <a:off x="0" y="0"/>
                          <a:ext cx="3909695" cy="6369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int="default" w:hAnsi="等线" w:eastAsia="等线" w:cs="Arial"/>
                                <w:b/>
                                <w:bCs/>
                                <w:color w:val="00B0F0"/>
                                <w:sz w:val="28"/>
                                <w:szCs w:val="28"/>
                                <w:lang w:val="en-US" w:eastAsia="zh-CN"/>
                              </w:rPr>
                            </w:pPr>
                            <w:r>
                              <w:rPr>
                                <w:rFonts w:hint="eastAsia" w:hAnsi="等线" w:cs="Arial"/>
                                <w:b/>
                                <w:bCs/>
                                <w:color w:val="3FC0C1"/>
                                <w:sz w:val="32"/>
                                <w:szCs w:val="32"/>
                              </w:rPr>
                              <w:t>遗传性</w:t>
                            </w:r>
                            <w:r>
                              <w:rPr>
                                <w:rFonts w:hint="eastAsia" w:hAnsi="等线" w:cs="Arial"/>
                                <w:b/>
                                <w:bCs/>
                                <w:color w:val="3FC0C1"/>
                                <w:sz w:val="32"/>
                                <w:szCs w:val="32"/>
                                <w:lang w:val="en-US" w:eastAsia="zh-CN"/>
                              </w:rPr>
                              <w:t>结直肠癌</w:t>
                            </w:r>
                            <w:r>
                              <w:rPr>
                                <w:rFonts w:hint="eastAsia" w:hAnsi="等线" w:cs="Arial"/>
                                <w:b/>
                                <w:bCs/>
                                <w:color w:val="3FC0C1"/>
                                <w:sz w:val="32"/>
                                <w:szCs w:val="32"/>
                              </w:rPr>
                              <w:t>基因检测结果</w:t>
                            </w:r>
                          </w:p>
                          <w:p>
                            <w:pP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87" o:spid="_x0000_s1026" o:spt="202" type="#_x0000_t202" style="position:absolute;left:0pt;margin-left:94.3pt;margin-top:-20.45pt;height:50.15pt;width:307.85pt;z-index:251708416;mso-width-relative:page;mso-height-relative:page;" filled="f" stroked="f" coordsize="21600,21600" o:gfxdata="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2Uffz9sAAAAKAQAADwAAAAAAAAABACAA&#10;AAAiAAAAZHJzL2Rvd25yZXYueG1sUEsBAhQAFAAAAAgAh07iQECRhmFDAgAAeAQAAA4AAAAAAAAA&#10;AQAgAAAAKgEAAGRycy9lMm9Eb2MueG1sUEsFBgAAAAAGAAYAWQEAAN8FAAAAAA==&#10;">
                <v:fill on="f" focussize="0,0"/>
                <v:stroke on="f" weight="0.5pt"/>
                <v:imagedata o:title=""/>
                <o:lock v:ext="edit" aspectratio="f"/>
                <v:textbox>
                  <w:txbxContent>
                    <w:p>
                      <w:pPr>
                        <w:spacing w:before="340" w:line="360" w:lineRule="auto"/>
                        <w:jc w:val="center"/>
                        <w:outlineLvl w:val="1"/>
                        <w:rPr>
                          <w:rFonts w:hint="default" w:hAnsi="等线" w:eastAsia="等线" w:cs="Arial"/>
                          <w:b/>
                          <w:bCs/>
                          <w:color w:val="00B0F0"/>
                          <w:sz w:val="28"/>
                          <w:szCs w:val="28"/>
                          <w:lang w:val="en-US" w:eastAsia="zh-CN"/>
                        </w:rPr>
                      </w:pPr>
                      <w:r>
                        <w:rPr>
                          <w:rFonts w:hint="eastAsia" w:hAnsi="等线" w:cs="Arial"/>
                          <w:b/>
                          <w:bCs/>
                          <w:color w:val="3FC0C1"/>
                          <w:sz w:val="32"/>
                          <w:szCs w:val="32"/>
                        </w:rPr>
                        <w:t>遗传性</w:t>
                      </w:r>
                      <w:r>
                        <w:rPr>
                          <w:rFonts w:hint="eastAsia" w:hAnsi="等线" w:cs="Arial"/>
                          <w:b/>
                          <w:bCs/>
                          <w:color w:val="3FC0C1"/>
                          <w:sz w:val="32"/>
                          <w:szCs w:val="32"/>
                          <w:lang w:val="en-US" w:eastAsia="zh-CN"/>
                        </w:rPr>
                        <w:t>结直肠癌</w:t>
                      </w:r>
                      <w:r>
                        <w:rPr>
                          <w:rFonts w:hint="eastAsia" w:hAnsi="等线" w:cs="Arial"/>
                          <w:b/>
                          <w:bCs/>
                          <w:color w:val="3FC0C1"/>
                          <w:sz w:val="32"/>
                          <w:szCs w:val="32"/>
                        </w:rPr>
                        <w:t>基因检测结果</w:t>
                      </w:r>
                    </w:p>
                    <w:p>
                      <w:pPr>
                        <w:rPr>
                          <w:color w:val="000000" w:themeColor="text1"/>
                          <w14:textFill>
                            <w14:solidFill>
                              <w14:schemeClr w14:val="tx1"/>
                            </w14:solidFill>
                          </w14:textFill>
                        </w:rPr>
                      </w:pPr>
                    </w:p>
                  </w:txbxContent>
                </v:textbox>
              </v:shape>
            </w:pict>
          </mc:Fallback>
        </mc:AlternateContent>
      </w:r>
      <w:r>
        <mc:AlternateContent>
          <mc:Choice Requires="wpg">
            <w:drawing>
              <wp:anchor distT="0" distB="0" distL="114300" distR="114300" simplePos="0" relativeHeight="251709440" behindDoc="0" locked="0" layoutInCell="1" allowOverlap="1">
                <wp:simplePos x="0" y="0"/>
                <wp:positionH relativeFrom="column">
                  <wp:posOffset>5715</wp:posOffset>
                </wp:positionH>
                <wp:positionV relativeFrom="paragraph">
                  <wp:posOffset>-12065</wp:posOffset>
                </wp:positionV>
                <wp:extent cx="6294120" cy="388620"/>
                <wp:effectExtent l="0" t="10795" r="0" b="12065"/>
                <wp:wrapNone/>
                <wp:docPr id="1035" name="组合 16"/>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89" name="圆角矩形 57"/>
                        <wps:cNvSpPr/>
                        <wps:spPr>
                          <a:xfrm>
                            <a:off x="4368" y="292680"/>
                            <a:ext cx="6348" cy="612"/>
                          </a:xfrm>
                          <a:prstGeom prst="roundRect">
                            <a:avLst/>
                          </a:prstGeom>
                          <a:noFill/>
                          <a:ln w="22225" cap="flat" cmpd="sng" algn="ctr">
                            <a:solidFill>
                              <a:srgbClr val="3FC0C1"/>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0" name="直接连接符 60"/>
                        <wps:cNvCnPr/>
                        <wps:spPr>
                          <a:xfrm flipH="1">
                            <a:off x="2592" y="292986"/>
                            <a:ext cx="1776" cy="0"/>
                          </a:xfrm>
                          <a:prstGeom prst="line">
                            <a:avLst/>
                          </a:prstGeom>
                          <a:noFill/>
                          <a:ln w="28575" cap="flat" cmpd="sng" algn="ctr">
                            <a:solidFill>
                              <a:srgbClr val="3FC0C1"/>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91" name="直接连接符 61"/>
                        <wps:cNvCnPr/>
                        <wps:spPr>
                          <a:xfrm flipH="1">
                            <a:off x="10728" y="292962"/>
                            <a:ext cx="1776" cy="0"/>
                          </a:xfrm>
                          <a:prstGeom prst="line">
                            <a:avLst/>
                          </a:prstGeom>
                          <a:noFill/>
                          <a:ln w="28575" cap="flat" cmpd="sng" algn="ctr">
                            <a:solidFill>
                              <a:srgbClr val="3FC0C1"/>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组合 16" o:spid="_x0000_s1026" o:spt="203" style="position:absolute;left:0pt;margin-left:0.45pt;margin-top:-0.95pt;height:30.6pt;width:495.6pt;z-index:251709440;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WDgjyboAAADb&#10;AAAADwAAAGRycy9kb3ducmV2LnhtbEWPS4vCMBSF98L8h3AH3GmqA6Id0y4Gx3EnPmC2l+baFJub&#10;0sS2/nsjCC4P5/Fx1vlga9FR6yvHCmbTBARx4XTFpYLz6XeyBOEDssbaMSm4k4c8+xitMdWu5wN1&#10;x1CKOMI+RQUmhCaV0heGLPqpa4ijd3GtxRBlW0rdYh/HbS3nSbKQFiuOBIMN/RgqrsebfXLP/Ge6&#10;xZ7m/6thO3z5zaYvlBp/zpJvEIGG8A6/2jutYLmC55f4A2T2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OCPJugAAANsA&#10;AAAPAAAAAAAAAAEAIAAAACIAAABkcnMvZG93bnJldi54bWxQSwECFAAUAAAACACHTuJAMy8FnjsA&#10;AAA5AAAAEAAAAAAAAAABACAAAAAJAQAAZHJzL3NoYXBleG1sLnhtbFBLBQYAAAAABgAGAFsBAACz&#10;AwAAAAA=&#10;">
                  <v:fill on="f" focussize="0,0"/>
                  <v:stroke weight="1.75pt" color="#3FC0C1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DzAL+70AAADb&#10;AAAADwAAAGRycy9kb3ducmV2LnhtbEVPy2rCQBTdF/yH4Qpuik4sWEzqJJRCqSJd+EC7vM3cZlIz&#10;d0JmjPr3zqLQ5eG8F8XVNqKnzteOFUwnCQji0umaKwX73ft4DsIHZI2NY1JwIw9FPnhYYKbdhTfU&#10;b0MlYgj7DBWYENpMSl8asugnriWO3I/rLIYIu0rqDi8x3DbyKUmepcWaY4PBlt4Mlaft2Sp4/Frz&#10;ys6aX/Oang7Hj0363eOnUqPhNHkBEega/sV/7qVWkMb18Uv8ATK/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Av7vQAA&#10;ANsAAAAPAAAAAAAAAAEAIAAAACIAAABkcnMvZG93bnJldi54bWxQSwECFAAUAAAACACHTuJAMy8F&#10;njsAAAA5AAAAEAAAAAAAAAABACAAAAAMAQAAZHJzL3NoYXBleG1sLnhtbFBLBQYAAAAABgAGAFsB&#10;AAC2AwAAAAA=&#10;">
                  <v:fill on="f" focussize="0,0"/>
                  <v:stroke weight="2.25pt" color="#3FC0C1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YHyuYL8AAADb&#10;AAAADwAAAGRycy9kb3ducmV2LnhtbEWPQWvCQBSE70L/w/IKXqRuIigmdRURRKX0oC1tj6/Z12xq&#10;9m3IrtH++64geBxm5htmtrjYWnTU+sqxgnSYgCAunK64VPD+tn6agvABWWPtmBT8kYfF/KE3w1y7&#10;M++pO4RSRAj7HBWYEJpcSl8YsuiHriGO3o9rLYYo21LqFs8Rbms5SpKJtFhxXDDY0MpQcTycrILB&#10;1wvv7Lj+Ncvs+PG52WffHb4q1X9Mk2cQgS7hHr61t1pBlsL1S/wBcv4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B8rmC/&#10;AAAA2wAAAA8AAAAAAAAAAQAgAAAAIgAAAGRycy9kb3ducmV2LnhtbFBLAQIUABQAAAAIAIdO4kAz&#10;LwWeOwAAADkAAAAQAAAAAAAAAAEAIAAAAA4BAABkcnMvc2hhcGV4bWwueG1sUEsFBgAAAAAGAAYA&#10;WwEAALgDAAAAAA==&#10;">
                  <v:fill on="f" focussize="0,0"/>
                  <v:stroke weight="2.25pt" color="#3FC0C1 [3204]" miterlimit="8" joinstyle="miter"/>
                  <v:imagedata o:title=""/>
                  <o:lock v:ext="edit" aspectratio="f"/>
                </v:line>
              </v:group>
            </w:pict>
          </mc:Fallback>
        </mc:AlternateContent>
      </w:r>
    </w:p>
    <w:p/>
    <w:p/>
    <w:p>
      <w:pPr>
        <w:keepNext w:val="0"/>
        <w:keepLines w:val="0"/>
        <w:pageBreakBefore w:val="0"/>
        <w:widowControl w:val="0"/>
        <w:kinsoku/>
        <w:wordWrap/>
        <w:overflowPunct/>
        <w:topLinePunct w:val="0"/>
        <w:autoSpaceDE/>
        <w:autoSpaceDN/>
        <w:bidi w:val="0"/>
        <w:adjustRightInd/>
        <w:snapToGrid/>
        <w:spacing w:line="360" w:lineRule="auto"/>
        <w:ind w:firstLine="840" w:firstLineChars="300"/>
        <w:jc w:val="left"/>
        <w:textAlignment w:val="auto"/>
        <w:outlineLvl w:val="2"/>
        <w:rPr>
          <w:rFonts w:hAnsi="等线" w:cs="Arial"/>
          <w:b/>
          <w:bCs/>
          <w:color w:val="3FC0C1"/>
          <w:sz w:val="24"/>
          <w:szCs w:val="24"/>
        </w:rPr>
      </w:pPr>
      <w:bookmarkStart w:id="73" w:name="_Toc89103158"/>
      <w:r>
        <w:rPr>
          <w:rFonts w:hint="eastAsia" w:hAnsi="等线" w:cs="Arial"/>
          <w:b/>
          <w:bCs/>
          <w:color w:val="0070C0"/>
          <w:sz w:val="28"/>
          <w:szCs w:val="28"/>
        </w:rPr>
        <w:drawing>
          <wp:anchor distT="0" distB="0" distL="114300" distR="114300" simplePos="0" relativeHeight="251707392" behindDoc="0" locked="0" layoutInCell="1" allowOverlap="1">
            <wp:simplePos x="0" y="0"/>
            <wp:positionH relativeFrom="column">
              <wp:posOffset>158115</wp:posOffset>
            </wp:positionH>
            <wp:positionV relativeFrom="paragraph">
              <wp:posOffset>37465</wp:posOffset>
            </wp:positionV>
            <wp:extent cx="277495" cy="259715"/>
            <wp:effectExtent l="0" t="0" r="12065" b="14605"/>
            <wp:wrapNone/>
            <wp:docPr id="1036" name="图片 35" descr="资源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图片 35" descr="资源 1@41"/>
                    <pic:cNvPicPr>
                      <a:picLocks noChangeAspect="1"/>
                    </pic:cNvPicPr>
                  </pic:nvPicPr>
                  <pic:blipFill>
                    <a:blip r:embed="rId15"/>
                    <a:stretch>
                      <a:fillRect/>
                    </a:stretch>
                  </pic:blipFill>
                  <pic:spPr>
                    <a:xfrm>
                      <a:off x="0" y="0"/>
                      <a:ext cx="277495" cy="259715"/>
                    </a:xfrm>
                    <a:prstGeom prst="rect">
                      <a:avLst/>
                    </a:prstGeom>
                  </pic:spPr>
                </pic:pic>
              </a:graphicData>
            </a:graphic>
          </wp:anchor>
        </w:drawing>
      </w:r>
      <w:r>
        <w:rPr>
          <w:rFonts w:hint="eastAsia" w:hAnsi="等线" w:cs="Arial"/>
          <w:b/>
          <w:bCs/>
          <w:color w:val="3FC0C1"/>
          <w:sz w:val="28"/>
          <w:szCs w:val="28"/>
        </w:rPr>
        <w:t>遗传性</w:t>
      </w:r>
      <w:r>
        <w:rPr>
          <w:rFonts w:hint="eastAsia" w:hAnsi="等线" w:cs="Arial"/>
          <w:b/>
          <w:bCs/>
          <w:color w:val="3FC0C1"/>
          <w:sz w:val="28"/>
          <w:szCs w:val="28"/>
          <w:lang w:val="en-US" w:eastAsia="zh-CN"/>
        </w:rPr>
        <w:t>结直肠癌</w:t>
      </w:r>
      <w:r>
        <w:rPr>
          <w:rFonts w:hint="eastAsia" w:hAnsi="等线" w:cs="Arial"/>
          <w:b/>
          <w:bCs/>
          <w:color w:val="3FC0C1"/>
          <w:sz w:val="28"/>
          <w:szCs w:val="28"/>
        </w:rPr>
        <w:t>基因检测结果</w:t>
      </w:r>
      <w:bookmarkEnd w:id="73"/>
    </w:p>
    <w:tbl>
      <w:tblPr>
        <w:tblStyle w:val="58"/>
        <w:tblW w:w="5000" w:type="pct"/>
        <w:jc w:val="cente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131"/>
        <w:gridCol w:w="3506"/>
        <w:gridCol w:w="1467"/>
        <w:gridCol w:w="1322"/>
        <w:gridCol w:w="2429"/>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Ex>
        <w:trPr>
          <w:trHeight w:val="595" w:hRule="atLeast"/>
          <w:tblHeader/>
          <w:jc w:val="center"/>
        </w:trPr>
        <w:tc>
          <w:tcPr>
            <w:tcW w:w="1150"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基因</w:t>
            </w:r>
          </w:p>
        </w:tc>
        <w:tc>
          <w:tcPr>
            <w:tcW w:w="3572"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val="0"/>
                <w:bCs w:val="0"/>
                <w:color w:val="FFFFFF"/>
                <w:szCs w:val="21"/>
              </w:rPr>
            </w:pPr>
            <w:r>
              <w:rPr>
                <w:rFonts w:hint="eastAsia" w:hAnsi="等线" w:cs="等线"/>
                <w:b/>
                <w:bCs/>
                <w:color w:val="FFFFFF"/>
                <w:szCs w:val="21"/>
              </w:rPr>
              <w:t>表型</w:t>
            </w:r>
          </w:p>
        </w:tc>
        <w:tc>
          <w:tcPr>
            <w:tcW w:w="1492"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遗传方式</w:t>
            </w:r>
          </w:p>
        </w:tc>
        <w:tc>
          <w:tcPr>
            <w:tcW w:w="1344"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杂合/纯合</w:t>
            </w:r>
          </w:p>
        </w:tc>
        <w:tc>
          <w:tcPr>
            <w:tcW w:w="2473" w:type="dxa"/>
            <w:tcBorders>
              <w:top w:val="single" w:color="FFFFFF" w:sz="24" w:space="0"/>
              <w:left w:val="single" w:color="FFFFFF" w:sz="24" w:space="0"/>
              <w:bottom w:val="single" w:color="FFFFFF" w:sz="24" w:space="0"/>
              <w:right w:val="single" w:color="FFFFFF" w:sz="24" w:space="0"/>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150"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b w:val="0"/>
                <w:bCs w:val="0"/>
                <w:sz w:val="20"/>
                <w:szCs w:val="20"/>
                <w:lang w:eastAsia="zh-CN"/>
              </w:rPr>
            </w:pPr>
            <w:r>
              <w:rPr>
                <w:rFonts w:hint="eastAsia" w:hAnsi="等线" w:cs="等线"/>
                <w:b w:val="0"/>
                <w:bCs w:val="0"/>
                <w:sz w:val="20"/>
                <w:szCs w:val="20"/>
                <w:lang w:val="en-US" w:eastAsia="zh-CN" w:bidi="ar"/>
              </w:rPr>
              <w:t xml:space="preserve">TP53</w:t>
            </w:r>
          </w:p>
        </w:tc>
        <w:tc>
          <w:tcPr>
            <w:tcW w:w="357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Li-Fraumeni综合征</w:t>
            </w:r>
          </w:p>
        </w:tc>
        <w:tc>
          <w:tcPr>
            <w:tcW w:w="149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AD</w:t>
            </w:r>
          </w:p>
        </w:tc>
        <w:tc>
          <w:tcPr>
            <w:tcW w:w="134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杂合</w:t>
            </w:r>
          </w:p>
        </w:tc>
        <w:tc>
          <w:tcPr>
            <w:tcW w:w="247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等线"/>
                <w:sz w:val="20"/>
                <w:szCs w:val="20"/>
                <w:lang w:eastAsia="zh-CN"/>
              </w:rPr>
            </w:pPr>
            <w:r>
              <w:rPr>
                <w:rFonts w:hint="eastAsia" w:hAnsi="等线" w:cs="等线"/>
                <w:b w:val="0"/>
                <w:bCs w:val="0"/>
                <w:sz w:val="20"/>
                <w:szCs w:val="20"/>
                <w:lang w:val="en-US" w:eastAsia="zh-CN" w:bidi="ar"/>
              </w:rPr>
              <w:t xml:space="preserve">p.V73Rfs*76</w:t>
            </w:r>
          </w:p>
        </w:tc>
      </w:tr>
    </w:tbl>
    <w:p>
      <w:pPr>
        <w:keepNext w:val="0"/>
        <w:keepLines w:val="0"/>
        <w:pageBreakBefore w:val="0"/>
        <w:widowControl w:val="0"/>
        <w:kinsoku/>
        <w:wordWrap/>
        <w:overflowPunct/>
        <w:topLinePunct w:val="0"/>
        <w:autoSpaceDE/>
        <w:autoSpaceDN/>
        <w:bidi w:val="0"/>
        <w:adjustRightInd/>
        <w:snapToGrid w:val="0"/>
        <w:spacing w:before="157" w:beforeLines="50" w:after="156" w:afterLines="50"/>
        <w:jc w:val="left"/>
        <w:textAlignment w:val="auto"/>
        <w:rPr>
          <w:rFonts w:hAnsi="等线"/>
          <w:b/>
          <w:bCs/>
          <w:szCs w:val="21"/>
        </w:rPr>
      </w:pPr>
      <w:r>
        <w:rPr>
          <w:rFonts w:hint="eastAsia" w:hAnsi="等线"/>
          <w:b/>
          <w:bCs/>
          <w:szCs w:val="21"/>
        </w:rPr>
        <w:t>说明：</w:t>
      </w:r>
    </w:p>
    <w:p>
      <w:pPr>
        <w:pStyle w:val="38"/>
        <w:numPr>
          <w:ilvl w:val="0"/>
          <w:numId w:val="6"/>
        </w:numPr>
        <w:snapToGrid w:val="0"/>
        <w:spacing w:line="360" w:lineRule="auto"/>
        <w:ind w:firstLineChars="0"/>
        <w:jc w:val="left"/>
        <w:rPr>
          <w:rFonts w:hAnsi="等线"/>
          <w:sz w:val="18"/>
          <w:szCs w:val="18"/>
        </w:rPr>
      </w:pPr>
      <w:r>
        <w:rPr>
          <w:rFonts w:hint="eastAsia" w:hAnsi="等线" w:cs="Arial"/>
          <w:sz w:val="18"/>
          <w:szCs w:val="18"/>
        </w:rPr>
        <w:t>胚系</w:t>
      </w:r>
      <w:r>
        <w:rPr>
          <w:rFonts w:hint="eastAsia" w:hAnsi="等线" w:cs="Arial"/>
          <w:sz w:val="18"/>
          <w:szCs w:val="18"/>
          <w:lang w:eastAsia="zh-CN"/>
        </w:rPr>
        <w:t>变异</w:t>
      </w:r>
      <w:r>
        <w:rPr>
          <w:rFonts w:hint="eastAsia" w:hAnsi="等线" w:cs="Arial"/>
          <w:sz w:val="18"/>
          <w:szCs w:val="18"/>
        </w:rPr>
        <w:t>是指在胚胎发育时已经携带的</w:t>
      </w:r>
      <w:r>
        <w:rPr>
          <w:rFonts w:hint="eastAsia" w:hAnsi="等线" w:cs="Arial"/>
          <w:sz w:val="18"/>
          <w:szCs w:val="18"/>
          <w:lang w:eastAsia="zh-CN"/>
        </w:rPr>
        <w:t>变异</w:t>
      </w:r>
      <w:r>
        <w:rPr>
          <w:rFonts w:hint="eastAsia" w:hAnsi="等线" w:cs="Arial"/>
          <w:sz w:val="18"/>
          <w:szCs w:val="18"/>
        </w:rPr>
        <w:t>，</w:t>
      </w:r>
      <w:r>
        <w:rPr>
          <w:rFonts w:hint="eastAsia" w:hAnsi="等线"/>
          <w:sz w:val="18"/>
          <w:szCs w:val="18"/>
        </w:rPr>
        <w:t>存在于生殖细胞内，具有遗传性，构成人与人的遗传多样性，人体的所有细胞均应带有一致的胚系</w:t>
      </w:r>
      <w:r>
        <w:rPr>
          <w:rFonts w:hint="eastAsia" w:hAnsi="等线"/>
          <w:sz w:val="18"/>
          <w:szCs w:val="18"/>
          <w:lang w:eastAsia="zh-CN"/>
        </w:rPr>
        <w:t>变异</w:t>
      </w:r>
      <w:r>
        <w:rPr>
          <w:rFonts w:hint="eastAsia" w:hAnsi="等线"/>
          <w:sz w:val="18"/>
          <w:szCs w:val="18"/>
        </w:rPr>
        <w:t>，但并非所有胚系</w:t>
      </w:r>
      <w:r>
        <w:rPr>
          <w:rFonts w:hint="eastAsia" w:hAnsi="等线"/>
          <w:sz w:val="18"/>
          <w:szCs w:val="18"/>
          <w:lang w:eastAsia="zh-CN"/>
        </w:rPr>
        <w:t>变异</w:t>
      </w:r>
      <w:r>
        <w:rPr>
          <w:rFonts w:hint="eastAsia" w:hAnsi="等线"/>
          <w:sz w:val="18"/>
          <w:szCs w:val="18"/>
        </w:rPr>
        <w:t>具有致病性</w:t>
      </w:r>
      <w:r>
        <w:rPr>
          <w:rFonts w:hint="eastAsia" w:hAnsi="等线" w:cs="Arial"/>
          <w:sz w:val="18"/>
          <w:szCs w:val="18"/>
        </w:rPr>
        <w:t>。</w:t>
      </w:r>
    </w:p>
    <w:p>
      <w:pPr>
        <w:pStyle w:val="38"/>
        <w:numPr>
          <w:ilvl w:val="0"/>
          <w:numId w:val="6"/>
        </w:numPr>
        <w:snapToGrid w:val="0"/>
        <w:spacing w:line="360" w:lineRule="auto"/>
        <w:ind w:firstLineChars="0"/>
        <w:jc w:val="left"/>
        <w:rPr>
          <w:rFonts w:hint="eastAsia" w:hAnsi="等线" w:cs="Arial"/>
          <w:sz w:val="18"/>
          <w:szCs w:val="18"/>
        </w:rPr>
      </w:pPr>
      <w:r>
        <w:rPr>
          <w:rFonts w:hint="eastAsia" w:hAnsi="等线" w:cs="Arial"/>
          <w:sz w:val="18"/>
          <w:szCs w:val="18"/>
        </w:rPr>
        <w:t>由于本样本未送检外周血对照样本，无法完全确定突变是否为胚系变异。若检测到突变，建议临床医生结合患者家族史等信息，谨慎参考本次检测结果。必要时，可送检外周血对照样本，排除胚系变异的可能。</w:t>
      </w:r>
    </w:p>
    <w:p>
      <w:pPr>
        <w:pStyle w:val="38"/>
        <w:numPr>
          <w:ilvl w:val="0"/>
          <w:numId w:val="6"/>
        </w:numPr>
        <w:snapToGrid w:val="0"/>
        <w:spacing w:line="360" w:lineRule="auto"/>
        <w:ind w:firstLineChars="0"/>
        <w:jc w:val="left"/>
        <w:rPr>
          <w:rFonts w:hAnsi="等线"/>
          <w:sz w:val="18"/>
          <w:szCs w:val="18"/>
        </w:rPr>
      </w:pPr>
      <w:r>
        <w:rPr>
          <w:rFonts w:hint="eastAsia" w:hAnsi="等线"/>
          <w:sz w:val="18"/>
          <w:szCs w:val="18"/>
        </w:rPr>
        <w:t>胚系</w:t>
      </w:r>
      <w:r>
        <w:rPr>
          <w:rFonts w:hint="eastAsia" w:hAnsi="等线"/>
          <w:sz w:val="18"/>
          <w:szCs w:val="18"/>
          <w:lang w:eastAsia="zh-CN"/>
        </w:rPr>
        <w:t>变异</w:t>
      </w:r>
      <w:r>
        <w:rPr>
          <w:rFonts w:hint="eastAsia" w:hAnsi="等线"/>
          <w:sz w:val="18"/>
          <w:szCs w:val="18"/>
        </w:rPr>
        <w:t>致病性分类参照美国医学遗传学和基因组学学院（</w:t>
      </w:r>
      <w:r>
        <w:rPr>
          <w:rFonts w:hAnsi="等线"/>
          <w:sz w:val="18"/>
          <w:szCs w:val="18"/>
        </w:rPr>
        <w:t>American College of Medical Genetics and Genomics，ACMG）相关指南，分为5级，分别为“致病</w:t>
      </w:r>
      <w:r>
        <w:rPr>
          <w:rFonts w:hint="eastAsia" w:hAnsi="等线"/>
          <w:sz w:val="18"/>
          <w:szCs w:val="18"/>
        </w:rPr>
        <w:t>的”、</w:t>
      </w:r>
      <w:r>
        <w:rPr>
          <w:rFonts w:hAnsi="等线"/>
          <w:sz w:val="18"/>
          <w:szCs w:val="18"/>
        </w:rPr>
        <w:t>“可能致病的”、“意义不明确的”、“可能良性的”和“良性的”。</w:t>
      </w:r>
    </w:p>
    <w:p>
      <w:pPr>
        <w:pStyle w:val="38"/>
        <w:numPr>
          <w:ilvl w:val="0"/>
          <w:numId w:val="6"/>
        </w:numPr>
        <w:snapToGrid w:val="0"/>
        <w:spacing w:line="360" w:lineRule="auto"/>
        <w:ind w:firstLineChars="0"/>
        <w:jc w:val="left"/>
        <w:rPr>
          <w:rFonts w:hAnsi="等线"/>
          <w:sz w:val="18"/>
          <w:szCs w:val="18"/>
        </w:rPr>
      </w:pPr>
      <w:r>
        <w:rPr>
          <w:rFonts w:hint="eastAsia" w:hAnsi="等线" w:cs="Arial"/>
          <w:sz w:val="18"/>
          <w:szCs w:val="18"/>
        </w:rPr>
        <w:t>本报告只列出“致病的”和“可能致病的”的胚系</w:t>
      </w:r>
      <w:r>
        <w:rPr>
          <w:rFonts w:hint="eastAsia" w:hAnsi="等线" w:cs="Arial"/>
          <w:sz w:val="18"/>
          <w:szCs w:val="18"/>
          <w:lang w:eastAsia="zh-CN"/>
        </w:rPr>
        <w:t>变异</w:t>
      </w:r>
      <w:r>
        <w:rPr>
          <w:rFonts w:hint="eastAsia" w:hAnsi="等线" w:cs="Arial"/>
          <w:sz w:val="18"/>
          <w:szCs w:val="18"/>
        </w:rPr>
        <w:t>。</w:t>
      </w:r>
    </w:p>
    <w:p>
      <w:pPr>
        <w:pStyle w:val="38"/>
        <w:numPr>
          <w:ilvl w:val="0"/>
          <w:numId w:val="6"/>
        </w:numPr>
        <w:snapToGrid w:val="0"/>
        <w:spacing w:line="360" w:lineRule="auto"/>
        <w:ind w:firstLineChars="0"/>
        <w:jc w:val="left"/>
        <w:rPr>
          <w:rFonts w:hAnsi="等线"/>
          <w:szCs w:val="21"/>
        </w:rPr>
      </w:pPr>
      <w:r>
        <w:rPr>
          <w:rFonts w:hAnsi="等线"/>
          <w:sz w:val="18"/>
          <w:szCs w:val="18"/>
        </w:rPr>
        <w:t>遗传方式：AD表示常染色体显性遗</w:t>
      </w:r>
      <w:r>
        <w:rPr>
          <w:rFonts w:hint="eastAsia" w:hAnsi="等线"/>
          <w:sz w:val="18"/>
          <w:szCs w:val="18"/>
        </w:rPr>
        <w:t>传，</w:t>
      </w:r>
      <w:r>
        <w:rPr>
          <w:rFonts w:hAnsi="等线"/>
          <w:sz w:val="18"/>
          <w:szCs w:val="18"/>
        </w:rPr>
        <w:t>AR表示常染色体隐性遗传</w:t>
      </w:r>
      <w:r>
        <w:rPr>
          <w:rFonts w:hint="eastAsia" w:hAnsi="等线"/>
          <w:szCs w:val="21"/>
        </w:rPr>
        <w:t>。</w:t>
      </w:r>
    </w:p>
    <w:p>
      <w:r>
        <w:br w:type="page"/>
      </w:r>
    </w:p>
    <w:bookmarkEnd w:id="57"/>
    <w:p>
      <w:pPr>
        <w:pStyle w:val="2"/>
        <w:spacing w:after="0"/>
        <w:jc w:val="center"/>
        <w:rPr>
          <w:rFonts w:hAnsi="等线"/>
          <w:color w:val="00B0F0"/>
        </w:rPr>
      </w:pPr>
      <w:bookmarkStart w:id="74" w:name="_Toc89103160"/>
      <w:r>
        <w:rPr>
          <w:sz w:val="36"/>
          <w:szCs w:val="36"/>
        </w:rPr>
        <mc:AlternateContent>
          <mc:Choice Requires="wps">
            <w:drawing>
              <wp:anchor distT="0" distB="0" distL="114300" distR="114300" simplePos="0" relativeHeight="251670528" behindDoc="0" locked="0" layoutInCell="1" allowOverlap="1">
                <wp:simplePos x="0" y="0"/>
                <wp:positionH relativeFrom="column">
                  <wp:posOffset>1242060</wp:posOffset>
                </wp:positionH>
                <wp:positionV relativeFrom="paragraph">
                  <wp:posOffset>-53340</wp:posOffset>
                </wp:positionV>
                <wp:extent cx="3726180" cy="561975"/>
                <wp:effectExtent l="12700" t="12700" r="25400" b="19685"/>
                <wp:wrapNone/>
                <wp:docPr id="1037"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7.8pt;margin-top:-4.2pt;height:44.25pt;width:293.4pt;z-index:251670528;v-text-anchor:middle;mso-width-relative:page;mso-height-relative:page;" filled="f" stroked="t" coordsize="21600,21600" arcsize="0.166666666666667" o:gfxdata="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cEqYz2gAAAAkBAAAPAAAA&#10;AAAAAAEAIAAAACIAAABkcnMvZG93bnJldi54bWxQSwECFAAUAAAACACHTuJAb3DdUIUCAADiBAAA&#10;DgAAAAAAAAABACAAAAApAQAAZHJzL2Uyb0RvYy54bWxQSwUGAAAAAAYABgBZAQAAIAY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4: </w:t>
      </w:r>
      <w:bookmarkStart w:id="75" w:name="Part4：其他信息"/>
      <w:bookmarkEnd w:id="75"/>
      <w:r>
        <w:rPr>
          <w:rFonts w:hint="eastAsia" w:hAnsi="等线"/>
          <w:color w:val="00B0F0"/>
        </w:rPr>
        <w:t>其他信息及说明</w:t>
      </w:r>
      <w:bookmarkEnd w:id="74"/>
    </w:p>
    <w:p>
      <w:pPr>
        <w:spacing w:before="340" w:line="360" w:lineRule="auto"/>
        <w:jc w:val="left"/>
        <w:outlineLvl w:val="1"/>
        <w:rPr>
          <w:rFonts w:hAnsi="等线" w:cs="Arial"/>
          <w:b/>
          <w:bCs/>
          <w:color w:val="00B0F0"/>
          <w:sz w:val="28"/>
          <w:szCs w:val="28"/>
        </w:rPr>
      </w:pPr>
      <w:bookmarkStart w:id="76" w:name="_Toc89103161"/>
      <w:r>
        <w:rPr>
          <w:rFonts w:hAnsi="等线" w:cs="Arial"/>
          <w:b/>
          <w:bCs/>
          <w:color w:val="00B0F0"/>
          <w:sz w:val="28"/>
          <w:szCs w:val="28"/>
        </w:rPr>
        <w:drawing>
          <wp:anchor distT="0" distB="0" distL="114300" distR="114300" simplePos="0" relativeHeight="251675648" behindDoc="0" locked="0" layoutInCell="1" allowOverlap="1">
            <wp:simplePos x="0" y="0"/>
            <wp:positionH relativeFrom="column">
              <wp:posOffset>92710</wp:posOffset>
            </wp:positionH>
            <wp:positionV relativeFrom="paragraph">
              <wp:posOffset>250825</wp:posOffset>
            </wp:positionV>
            <wp:extent cx="275590" cy="277495"/>
            <wp:effectExtent l="0" t="0" r="13970" b="12065"/>
            <wp:wrapNone/>
            <wp:docPr id="1038" name="图片 45"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D:\解码\4x\资源 4@47.png资源 4@47"/>
                    <pic:cNvPicPr>
                      <a:picLocks noChangeAspect="1"/>
                    </pic:cNvPicPr>
                  </pic:nvPicPr>
                  <pic:blipFill>
                    <a:blip r:embed="rId16"/>
                    <a:srcRect/>
                    <a:stretch>
                      <a:fillRect/>
                    </a:stretch>
                  </pic:blipFill>
                  <pic:spPr>
                    <a:xfrm>
                      <a:off x="0" y="0"/>
                      <a:ext cx="275590"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77" w:name="样本质控结果"/>
      <w:bookmarkEnd w:id="77"/>
      <w:r>
        <w:rPr>
          <w:rFonts w:hint="eastAsia" w:hAnsi="等线" w:cs="Arial"/>
          <w:b/>
          <w:bCs/>
          <w:color w:val="00B0F0"/>
          <w:sz w:val="28"/>
          <w:szCs w:val="28"/>
        </w:rPr>
        <w:t>样本质控结果</w:t>
      </w:r>
      <w:bookmarkEnd w:id="76"/>
    </w:p>
    <w:tbl>
      <w:tblPr>
        <w:tblStyle w:val="45"/>
        <w:tblW w:w="5000" w:type="pct"/>
        <w:jc w:val="center"/>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Layout w:type="fixed"/>
        <w:tblCellMar>
          <w:top w:w="0" w:type="dxa"/>
          <w:left w:w="0" w:type="dxa"/>
          <w:bottom w:w="0" w:type="dxa"/>
          <w:right w:w="0" w:type="dxa"/>
        </w:tblCellMar>
      </w:tblPr>
      <w:tblGrid>
        <w:gridCol w:w="2788"/>
        <w:gridCol w:w="2188"/>
        <w:gridCol w:w="2342"/>
        <w:gridCol w:w="2342"/>
      </w:tblGrid>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质量参数</w:t>
            </w:r>
          </w:p>
        </w:tc>
        <w:tc>
          <w:tcPr>
            <w:tcW w:w="2119"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数值</w:t>
            </w:r>
          </w:p>
        </w:tc>
        <w:tc>
          <w:tcPr>
            <w:tcW w:w="2268"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质控标准</w:t>
            </w:r>
          </w:p>
        </w:tc>
        <w:tc>
          <w:tcPr>
            <w:tcW w:w="2268" w:type="dxa"/>
            <w:tcBorders>
              <w:top w:val="single" w:color="EAEAEA" w:sz="8" w:space="0"/>
              <w:left w:val="single" w:color="EAEAEA" w:sz="8" w:space="0"/>
              <w:bottom w:val="single" w:color="EAEAEA" w:sz="18" w:space="0"/>
              <w:right w:val="single" w:color="EAEAEA" w:sz="8" w:space="0"/>
            </w:tcBorders>
            <w:shd w:val="clear" w:color="auto" w:fill="00B0F0"/>
          </w:tcPr>
          <w:p>
            <w:pPr>
              <w:spacing w:before="120" w:after="120"/>
              <w:jc w:val="center"/>
              <w:rPr>
                <w:rFonts w:hAnsi="等线" w:cs="等线"/>
                <w:b/>
                <w:bCs/>
                <w:color w:val="FFFFFF"/>
                <w:kern w:val="0"/>
                <w:szCs w:val="21"/>
              </w:rPr>
            </w:pPr>
            <w:r>
              <w:rPr>
                <w:rFonts w:hint="eastAsia" w:hAnsi="等线" w:cs="等线"/>
                <w:b/>
                <w:bCs/>
                <w:color w:val="FFFFFF"/>
                <w:kern w:val="0"/>
                <w:szCs w:val="21"/>
              </w:rPr>
              <w:t>质控结果</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1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int="eastAsia" w:hAnsi="等线" w:eastAsia="等线" w:cs="等线"/>
                <w:color w:val="000000"/>
                <w:kern w:val="0"/>
                <w:sz w:val="20"/>
                <w:szCs w:val="20"/>
                <w:lang w:eastAsia="zh-CN"/>
              </w:rPr>
            </w:pPr>
            <w:r>
              <w:rPr>
                <w:rFonts w:hint="eastAsia" w:hAnsi="等线" w:cs="等线"/>
                <w:color w:val="000000"/>
                <w:kern w:val="0"/>
                <w:sz w:val="20"/>
                <w:szCs w:val="20"/>
              </w:rPr>
              <w:t>碱基质量Q30占比</w:t>
            </w:r>
            <w:r>
              <w:rPr>
                <w:rFonts w:hint="eastAsia" w:hAnsi="等线" w:cs="等线"/>
                <w:color w:val="000000"/>
                <w:kern w:val="0"/>
                <w:sz w:val="20"/>
                <w:szCs w:val="20"/>
                <w:lang w:eastAsia="zh-CN"/>
              </w:rPr>
              <w:t>（</w:t>
            </w:r>
            <w:r>
              <w:rPr>
                <w:rFonts w:hint="eastAsia" w:hAnsi="等线" w:cs="等线"/>
                <w:color w:val="000000"/>
                <w:kern w:val="0"/>
                <w:sz w:val="20"/>
                <w:szCs w:val="20"/>
                <w:lang w:val="en-US" w:eastAsia="zh-CN"/>
              </w:rPr>
              <w:t>%</w:t>
            </w:r>
            <w:r>
              <w:rPr>
                <w:rFonts w:hint="eastAsia" w:hAnsi="等线" w:cs="等线"/>
                <w:color w:val="000000"/>
                <w:kern w:val="0"/>
                <w:sz w:val="20"/>
                <w:szCs w:val="20"/>
                <w:lang w:eastAsia="zh-CN"/>
              </w:rPr>
              <w:t>）</w:t>
            </w:r>
          </w:p>
        </w:tc>
        <w:tc>
          <w:tcPr>
            <w:tcW w:w="2119" w:type="dxa"/>
            <w:tcBorders>
              <w:top w:val="single" w:color="EAEAEA" w:sz="18" w:space="0"/>
              <w:left w:val="single" w:color="EAEAEA" w:sz="8" w:space="0"/>
              <w:bottom w:val="single" w:color="EAEAEA" w:sz="8" w:space="0"/>
              <w:right w:val="single" w:color="EAEAEA" w:sz="8" w:space="0"/>
            </w:tcBorders>
            <w:shd w:val="clear" w:color="auto" w:fill="FFFFFF"/>
            <w:vAlign w:val="center"/>
          </w:tcPr>
          <w:p>
            <w:pPr>
              <w:spacing w:before="120" w:after="120"/>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 xml:space="preserve">94.32</w:t>
            </w:r>
          </w:p>
        </w:tc>
        <w:tc>
          <w:tcPr>
            <w:tcW w:w="2268" w:type="dxa"/>
            <w:tcBorders>
              <w:top w:val="single" w:color="EAEAEA" w:sz="1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highlight w:val="none"/>
              </w:rPr>
            </w:pPr>
            <w:r>
              <w:rPr>
                <w:rFonts w:hint="eastAsia" w:hAnsi="等线" w:cs="等线"/>
                <w:color w:val="000000"/>
                <w:kern w:val="0"/>
                <w:sz w:val="20"/>
                <w:szCs w:val="20"/>
                <w:highlight w:val="none"/>
              </w:rPr>
              <w:t>≥85</w:t>
            </w:r>
          </w:p>
        </w:tc>
        <w:tc>
          <w:tcPr>
            <w:tcW w:w="2268" w:type="dxa"/>
            <w:tcBorders>
              <w:top w:val="single" w:color="EAEAEA" w:sz="18" w:space="0"/>
              <w:left w:val="single" w:color="EAEAEA" w:sz="8" w:space="0"/>
              <w:bottom w:val="single" w:color="EAEAEA" w:sz="8" w:space="0"/>
              <w:right w:val="single" w:color="EAEAEA" w:sz="8" w:space="0"/>
            </w:tcBorders>
            <w:shd w:val="clear" w:color="auto" w:fill="FFFFFF"/>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平均测序深度（</w:t>
            </w:r>
            <w:r>
              <w:rPr>
                <w:rFonts w:hint="eastAsia" w:hAnsi="等线" w:cs="等线"/>
                <w:color w:val="000000"/>
                <w:kern w:val="0"/>
                <w:sz w:val="20"/>
                <w:szCs w:val="20"/>
                <w:lang w:val="en-US" w:eastAsia="zh-CN"/>
              </w:rPr>
              <w:t>X</w:t>
            </w:r>
            <w:r>
              <w:rPr>
                <w:rFonts w:hint="eastAsia" w:hAnsi="等线" w:cs="等线"/>
                <w:color w:val="000000"/>
                <w:kern w:val="0"/>
                <w:sz w:val="20"/>
                <w:szCs w:val="20"/>
              </w:rPr>
              <w:t>）</w:t>
            </w:r>
          </w:p>
        </w:tc>
        <w:tc>
          <w:tcPr>
            <w:tcW w:w="2119" w:type="dxa"/>
            <w:tcBorders>
              <w:top w:val="single" w:color="EAEAEA" w:sz="8" w:space="0"/>
              <w:left w:val="single" w:color="EAEAEA" w:sz="8" w:space="0"/>
              <w:bottom w:val="single" w:color="EAEAEA" w:sz="8" w:space="0"/>
              <w:right w:val="single" w:color="EAEAEA" w:sz="8" w:space="0"/>
            </w:tcBorders>
            <w:shd w:val="clear" w:color="auto" w:fill="F2F2F2"/>
            <w:vAlign w:val="center"/>
          </w:tcPr>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 xml:space="preserve">937.62</w:t>
            </w:r>
          </w:p>
        </w:tc>
        <w:tc>
          <w:tcPr>
            <w:tcW w:w="2268"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int="default" w:hAnsi="等线" w:cs="等线"/>
                <w:color w:val="000000"/>
                <w:kern w:val="0"/>
                <w:sz w:val="20"/>
                <w:szCs w:val="20"/>
                <w:highlight w:val="none"/>
                <w:lang w:val="en-US"/>
              </w:rPr>
            </w:pPr>
            <w:r>
              <w:rPr>
                <w:rFonts w:hint="eastAsia" w:hAnsi="等线" w:cs="等线"/>
                <w:color w:val="000000"/>
                <w:kern w:val="0"/>
                <w:sz w:val="20"/>
                <w:szCs w:val="20"/>
                <w:highlight w:val="none"/>
              </w:rPr>
              <w:t>≥</w:t>
            </w:r>
            <w:r>
              <w:rPr>
                <w:rFonts w:hint="eastAsia" w:hAnsi="等线" w:cs="等线"/>
                <w:color w:val="000000"/>
                <w:kern w:val="0"/>
                <w:sz w:val="20"/>
                <w:szCs w:val="20"/>
                <w:highlight w:val="none"/>
                <w:lang w:val="en-US" w:eastAsia="zh-CN"/>
              </w:rPr>
              <w:t>500</w:t>
            </w:r>
          </w:p>
        </w:tc>
        <w:tc>
          <w:tcPr>
            <w:tcW w:w="2268" w:type="dxa"/>
            <w:tcBorders>
              <w:top w:val="single" w:color="EAEAEA" w:sz="8" w:space="0"/>
              <w:left w:val="single" w:color="EAEAEA" w:sz="8" w:space="0"/>
              <w:bottom w:val="single" w:color="EAEAEA" w:sz="8" w:space="0"/>
              <w:right w:val="single" w:color="EAEAEA" w:sz="8" w:space="0"/>
            </w:tcBorders>
            <w:shd w:val="clear" w:color="auto" w:fill="F2F2F2"/>
            <w:vAlign w:val="center"/>
          </w:tcPr>
          <w:p>
            <w:pPr>
              <w:spacing w:before="120" w:after="120"/>
              <w:jc w:val="center"/>
              <w:rPr>
                <w:rFonts w:hint="eastAsia" w:hAnsi="等线" w:cs="等线"/>
                <w:color w:val="404040"/>
                <w:sz w:val="20"/>
                <w:szCs w:val="20"/>
                <w:lang w:val="en-US" w:eastAsia="zh-CN" w:bidi="ar"/>
              </w:rPr>
            </w:pPr>
            <w:r>
              <w:rPr>
                <w:rFonts w:hint="eastAsia" w:hAnsi="等线" w:cs="等线"/>
                <w:color w:val="404040"/>
                <w:sz w:val="20"/>
                <w:szCs w:val="20"/>
                <w:lang w:val="en-US" w:eastAsia="zh-CN" w:bidi="ar"/>
              </w:rPr>
              <w:t>合格</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覆盖均一性（%）</w:t>
            </w:r>
          </w:p>
        </w:tc>
        <w:tc>
          <w:tcPr>
            <w:tcW w:w="2119" w:type="dxa"/>
            <w:tcBorders>
              <w:top w:val="single" w:color="EAEAEA" w:sz="8" w:space="0"/>
              <w:left w:val="single" w:color="EAEAEA" w:sz="8" w:space="0"/>
              <w:bottom w:val="single" w:color="EAEAEA" w:sz="8" w:space="0"/>
              <w:right w:val="single" w:color="EAEAEA" w:sz="8" w:space="0"/>
            </w:tcBorders>
            <w:shd w:val="clear" w:color="auto" w:fill="FFFFFF"/>
            <w:vAlign w:val="center"/>
          </w:tcPr>
          <w:p>
            <w:pPr>
              <w:widowControl/>
              <w:tabs>
                <w:tab w:val="left" w:pos="0"/>
              </w:tabs>
              <w:jc w:val="center"/>
              <w:rPr>
                <w:rFonts w:hint="eastAsia" w:hAnsi="等线" w:eastAsia="等线" w:cs="等线"/>
                <w:color w:val="000000"/>
                <w:kern w:val="0"/>
                <w:sz w:val="20"/>
                <w:szCs w:val="20"/>
                <w:lang w:eastAsia="zh-CN"/>
              </w:rPr>
            </w:pPr>
            <w:r>
              <w:rPr>
                <w:rFonts w:hint="eastAsia" w:hAnsi="等线" w:cs="等线"/>
                <w:color w:val="404040"/>
                <w:sz w:val="20"/>
                <w:szCs w:val="20"/>
                <w:lang w:bidi="ar"/>
              </w:rPr>
              <w:t xml:space="preserve">35.53</w:t>
            </w:r>
          </w:p>
        </w:tc>
        <w:tc>
          <w:tcPr>
            <w:tcW w:w="2268"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highlight w:val="none"/>
              </w:rPr>
            </w:pPr>
            <w:r>
              <w:rPr>
                <w:rFonts w:hint="eastAsia" w:hAnsi="等线" w:cs="等线"/>
                <w:color w:val="000000"/>
                <w:kern w:val="0"/>
                <w:sz w:val="20"/>
                <w:szCs w:val="20"/>
                <w:highlight w:val="none"/>
              </w:rPr>
              <w:t>≥90</w:t>
            </w:r>
          </w:p>
        </w:tc>
        <w:tc>
          <w:tcPr>
            <w:tcW w:w="2268" w:type="dxa"/>
            <w:tcBorders>
              <w:top w:val="single" w:color="EAEAEA" w:sz="8" w:space="0"/>
              <w:left w:val="single" w:color="EAEAEA" w:sz="8" w:space="0"/>
              <w:bottom w:val="single" w:color="EAEAEA" w:sz="8" w:space="0"/>
              <w:right w:val="single" w:color="EAEAEA" w:sz="8" w:space="0"/>
            </w:tcBorders>
            <w:shd w:val="clear" w:color="auto" w:fill="FFFFFF"/>
            <w:vAlign w:val="center"/>
          </w:tcPr>
          <w:p>
            <w:pPr>
              <w:spacing w:before="120" w:after="120"/>
              <w:jc w:val="center"/>
              <w:rPr>
                <w:rFonts w:hint="default" w:hAnsi="等线" w:cs="等线"/>
                <w:color w:val="404040"/>
                <w:sz w:val="20"/>
                <w:szCs w:val="20"/>
                <w:lang w:val="en-US" w:eastAsia="zh-CN" w:bidi="ar"/>
              </w:rPr>
            </w:pPr>
            <w:r>
              <w:rPr>
                <w:rFonts w:hint="default" w:hAnsi="等线" w:cs="等线"/>
                <w:color w:val="404040"/>
                <w:sz w:val="20"/>
                <w:szCs w:val="20"/>
                <w:lang w:val="en-US" w:eastAsia="zh-CN" w:bidi="ar"/>
              </w:rPr>
              <w:t>警戒</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总体质量评估</w:t>
            </w:r>
          </w:p>
        </w:tc>
        <w:tc>
          <w:tcPr>
            <w:tcW w:w="6655" w:type="dxa"/>
            <w:gridSpan w:val="3"/>
            <w:tcBorders>
              <w:top w:val="single" w:color="EAEAEA" w:sz="8" w:space="0"/>
              <w:left w:val="single" w:color="EAEAEA" w:sz="8" w:space="0"/>
              <w:bottom w:val="single" w:color="EAEAEA" w:sz="8" w:space="0"/>
              <w:right w:val="single" w:color="EAEAEA" w:sz="8" w:space="0"/>
            </w:tcBorders>
            <w:shd w:val="clear" w:color="auto" w:fill="F2F2F2"/>
            <w:vAlign w:val="center"/>
          </w:tcPr>
          <w:p>
            <w:pPr>
              <w:spacing w:before="120" w:after="120"/>
              <w:jc w:val="center"/>
              <w:rPr>
                <w:rFonts w:hint="default" w:hAnsi="等线" w:cs="等线"/>
                <w:color w:val="404040"/>
                <w:sz w:val="20"/>
                <w:szCs w:val="20"/>
                <w:lang w:val="en-US" w:eastAsia="zh-CN" w:bidi="ar"/>
              </w:rPr>
            </w:pPr>
            <w:r>
              <w:rPr>
                <w:rFonts w:hint="default" w:hAnsi="等线" w:cs="等线"/>
                <w:color w:val="404040"/>
                <w:sz w:val="20"/>
                <w:szCs w:val="20"/>
                <w:lang w:val="en-US" w:eastAsia="zh-CN" w:bidi="ar"/>
              </w:rPr>
              <w:t>警戒</w:t>
            </w:r>
          </w:p>
        </w:tc>
      </w:tr>
    </w:tbl>
    <w:p>
      <w:pPr>
        <w:rPr>
          <w:rFonts w:hAnsi="等线"/>
          <w:b/>
          <w:bCs/>
          <w:szCs w:val="21"/>
        </w:rPr>
      </w:pPr>
    </w:p>
    <w:p>
      <w:pPr>
        <w:spacing w:after="156" w:afterLines="50"/>
        <w:rPr>
          <w:rFonts w:hAnsi="等线"/>
          <w:b/>
          <w:bCs/>
          <w:kern w:val="0"/>
          <w:szCs w:val="21"/>
        </w:rPr>
      </w:pPr>
      <w:r>
        <w:rPr>
          <w:rFonts w:hint="eastAsia" w:hAnsi="等线"/>
          <w:b/>
          <w:bCs/>
          <w:szCs w:val="21"/>
        </w:rPr>
        <w:t>说明：</w:t>
      </w:r>
    </w:p>
    <w:p>
      <w:pPr>
        <w:widowControl/>
        <w:numPr>
          <w:ilvl w:val="0"/>
          <w:numId w:val="7"/>
        </w:numPr>
        <w:spacing w:line="360" w:lineRule="auto"/>
        <w:jc w:val="left"/>
        <w:rPr>
          <w:rFonts w:hAnsi="等线"/>
          <w:sz w:val="18"/>
          <w:szCs w:val="18"/>
        </w:rPr>
      </w:pPr>
      <w:r>
        <w:rPr>
          <w:rFonts w:hAnsi="等线"/>
          <w:sz w:val="18"/>
          <w:szCs w:val="18"/>
        </w:rPr>
        <w:t>碱基质量Q30占比：测序数据中碱基质量在Q30以上（即错误率在千分之一以下）的占比。</w:t>
      </w:r>
    </w:p>
    <w:p>
      <w:pPr>
        <w:widowControl/>
        <w:numPr>
          <w:ilvl w:val="0"/>
          <w:numId w:val="7"/>
        </w:numPr>
        <w:spacing w:line="360" w:lineRule="auto"/>
        <w:jc w:val="left"/>
        <w:rPr>
          <w:rFonts w:hAnsi="等线"/>
          <w:sz w:val="18"/>
          <w:szCs w:val="18"/>
        </w:rPr>
      </w:pPr>
      <w:r>
        <w:rPr>
          <w:rFonts w:hint="eastAsia" w:hAnsi="等线"/>
          <w:sz w:val="18"/>
          <w:szCs w:val="18"/>
        </w:rPr>
        <w:t>平均测序深度：目标基因每个碱基被测到的平均次数。</w:t>
      </w:r>
    </w:p>
    <w:p>
      <w:pPr>
        <w:widowControl/>
        <w:numPr>
          <w:ilvl w:val="0"/>
          <w:numId w:val="7"/>
        </w:numPr>
        <w:spacing w:line="360" w:lineRule="auto"/>
        <w:jc w:val="left"/>
        <w:rPr>
          <w:rFonts w:hAnsi="等线"/>
          <w:sz w:val="18"/>
          <w:szCs w:val="18"/>
        </w:rPr>
      </w:pPr>
      <w:r>
        <w:rPr>
          <w:rFonts w:hint="eastAsia" w:hAnsi="等线"/>
          <w:sz w:val="18"/>
          <w:szCs w:val="18"/>
        </w:rPr>
        <w:t>覆盖均一性：表示达到平均测序深度的0.</w:t>
      </w:r>
      <w:r>
        <w:rPr>
          <w:rFonts w:hAnsi="等线"/>
          <w:sz w:val="18"/>
          <w:szCs w:val="18"/>
        </w:rPr>
        <w:t>2</w:t>
      </w:r>
      <w:r>
        <w:rPr>
          <w:rFonts w:hint="eastAsia" w:hAnsi="等线"/>
          <w:sz w:val="18"/>
          <w:szCs w:val="18"/>
        </w:rPr>
        <w:t>倍的区域占覆盖区域的比例。</w:t>
      </w:r>
    </w:p>
    <w:p>
      <w:pPr>
        <w:widowControl/>
        <w:numPr>
          <w:ilvl w:val="0"/>
          <w:numId w:val="7"/>
        </w:numPr>
        <w:spacing w:line="360" w:lineRule="auto"/>
        <w:jc w:val="left"/>
        <w:rPr>
          <w:rFonts w:hAnsi="等线"/>
          <w:sz w:val="18"/>
          <w:szCs w:val="18"/>
        </w:rPr>
      </w:pPr>
      <w:r>
        <w:rPr>
          <w:rFonts w:hint="eastAsia" w:hAnsi="等线"/>
          <w:sz w:val="18"/>
          <w:szCs w:val="18"/>
        </w:rPr>
        <w:t>总体质量评估：结合以上参数进行综合评估，采取短板效应，分为合格和警戒(风险预警)二个等级。质量警戒可能会影响此次检测的准确性和敏感性。</w:t>
      </w:r>
    </w:p>
    <w:p>
      <w:pPr>
        <w:rPr>
          <w:rFonts w:hAnsi="等线"/>
          <w:szCs w:val="21"/>
        </w:rPr>
      </w:pPr>
      <w:r>
        <w:rPr>
          <w:rFonts w:hAnsi="等线"/>
          <w:szCs w:val="21"/>
        </w:rPr>
        <w:br w:type="page"/>
      </w:r>
    </w:p>
    <w:p/>
    <w:p/>
    <w:p>
      <w:pPr>
        <w:spacing w:before="340" w:line="360" w:lineRule="auto"/>
        <w:jc w:val="left"/>
        <w:outlineLvl w:val="1"/>
        <w:rPr>
          <w:rFonts w:hAnsi="等线" w:cs="Arial"/>
          <w:b/>
          <w:bCs/>
          <w:color w:val="00B0F0"/>
          <w:sz w:val="28"/>
          <w:szCs w:val="28"/>
        </w:rPr>
      </w:pPr>
      <w:bookmarkStart w:id="78" w:name="_Toc89103162"/>
      <w:r>
        <w:rPr>
          <w:rFonts w:hAnsi="等线" w:cs="Arial"/>
          <w:b/>
          <w:bCs/>
          <w:color w:val="00B0F0"/>
          <w:sz w:val="28"/>
          <w:szCs w:val="28"/>
        </w:rPr>
        <w:drawing>
          <wp:anchor distT="0" distB="0" distL="114300" distR="114300" simplePos="0" relativeHeight="251676672" behindDoc="0" locked="0" layoutInCell="1" allowOverlap="1">
            <wp:simplePos x="0" y="0"/>
            <wp:positionH relativeFrom="column">
              <wp:posOffset>88900</wp:posOffset>
            </wp:positionH>
            <wp:positionV relativeFrom="paragraph">
              <wp:posOffset>263525</wp:posOffset>
            </wp:positionV>
            <wp:extent cx="275590" cy="277495"/>
            <wp:effectExtent l="0" t="0" r="13970" b="12065"/>
            <wp:wrapNone/>
            <wp:docPr id="1039" name="图片 55"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D:\解码\4x\资源 4@47.png资源 4@47"/>
                    <pic:cNvPicPr>
                      <a:picLocks noChangeAspect="1"/>
                    </pic:cNvPicPr>
                  </pic:nvPicPr>
                  <pic:blipFill>
                    <a:blip r:embed="rId16"/>
                    <a:srcRect/>
                    <a:stretch>
                      <a:fillRect/>
                    </a:stretch>
                  </pic:blipFill>
                  <pic:spPr>
                    <a:xfrm>
                      <a:off x="0" y="0"/>
                      <a:ext cx="275590" cy="277495"/>
                    </a:xfrm>
                    <a:prstGeom prst="rect">
                      <a:avLst/>
                    </a:prstGeom>
                  </pic:spPr>
                </pic:pic>
              </a:graphicData>
            </a:graphic>
          </wp:anchor>
        </w:drawing>
      </w:r>
      <w:r>
        <w:rPr>
          <w:rFonts w:hint="eastAsia" w:hAnsi="等线" w:cs="Arial"/>
          <w:b/>
          <w:bCs/>
          <w:color w:val="00B0F0"/>
          <w:sz w:val="28"/>
          <w:szCs w:val="28"/>
        </w:rPr>
        <w:t xml:space="preserve">     </w:t>
      </w:r>
      <w:bookmarkStart w:id="79" w:name="检测方法"/>
      <w:bookmarkEnd w:id="79"/>
      <w:r>
        <w:rPr>
          <w:rFonts w:hint="eastAsia" w:hAnsi="等线" w:cs="Arial"/>
          <w:b/>
          <w:bCs/>
          <w:color w:val="00B0F0"/>
          <w:sz w:val="28"/>
          <w:szCs w:val="28"/>
        </w:rPr>
        <w:t>检测方法</w:t>
      </w:r>
      <w:bookmarkEnd w:id="78"/>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本次检测采用目标区域捕获 +</w:t>
      </w:r>
      <w:r>
        <w:rPr>
          <w:rFonts w:hAnsi="等线"/>
          <w:sz w:val="18"/>
          <w:szCs w:val="18"/>
        </w:rPr>
        <w:t xml:space="preserve"> 高通量测序</w:t>
      </w:r>
      <w:r>
        <w:rPr>
          <w:rFonts w:hint="eastAsia" w:hAnsi="等线"/>
          <w:sz w:val="18"/>
          <w:szCs w:val="18"/>
        </w:rPr>
        <w:t>技术对样本进行检测。本次检测可以覆盖目标基因捕获区域的单核苷酸变异、短片段插入或缺失变异、基因拷贝数变异以及探针覆盖范围内的基因重排。</w:t>
      </w:r>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 xml:space="preserve">目标区域捕获 </w:t>
      </w:r>
      <w:r>
        <w:rPr>
          <w:rFonts w:hAnsi="等线"/>
          <w:sz w:val="18"/>
          <w:szCs w:val="18"/>
        </w:rPr>
        <w:t>+ 高通量测序：</w:t>
      </w:r>
      <w:r>
        <w:rPr>
          <w:rFonts w:hint="eastAsia" w:hAnsi="等线"/>
          <w:sz w:val="18"/>
          <w:szCs w:val="18"/>
        </w:rPr>
        <w:t>二代测序（</w:t>
      </w:r>
      <w:r>
        <w:rPr>
          <w:rFonts w:hAnsi="等线"/>
          <w:sz w:val="18"/>
          <w:szCs w:val="18"/>
        </w:rPr>
        <w:t>NGS</w:t>
      </w:r>
      <w:r>
        <w:rPr>
          <w:rFonts w:hint="eastAsia" w:hAnsi="等线"/>
          <w:sz w:val="18"/>
          <w:szCs w:val="18"/>
        </w:rPr>
        <w:t>）</w:t>
      </w:r>
      <w:r>
        <w:rPr>
          <w:rFonts w:hAnsi="等线"/>
          <w:sz w:val="18"/>
          <w:szCs w:val="18"/>
        </w:rPr>
        <w:t>又称大规模平行测序（MPS），</w:t>
      </w:r>
      <w:r>
        <w:rPr>
          <w:rFonts w:hint="eastAsia" w:hAnsi="等线"/>
          <w:sz w:val="18"/>
          <w:szCs w:val="18"/>
        </w:rPr>
        <w:t>能够同时对上百万甚至数十亿个D</w:t>
      </w:r>
      <w:r>
        <w:rPr>
          <w:rFonts w:hAnsi="等线"/>
          <w:sz w:val="18"/>
          <w:szCs w:val="18"/>
        </w:rPr>
        <w:t>NA分子进行测序，实现</w:t>
      </w:r>
      <w:r>
        <w:rPr>
          <w:rFonts w:hint="eastAsia" w:hAnsi="等线"/>
          <w:sz w:val="18"/>
          <w:szCs w:val="18"/>
        </w:rPr>
        <w:t>了大规模、高通量测序的目标，是继</w:t>
      </w:r>
      <w:r>
        <w:rPr>
          <w:rFonts w:hAnsi="等线"/>
          <w:sz w:val="18"/>
          <w:szCs w:val="18"/>
        </w:rPr>
        <w:t>Sanger测序</w:t>
      </w:r>
      <w:r>
        <w:rPr>
          <w:rFonts w:hint="eastAsia" w:hAnsi="等线"/>
          <w:sz w:val="18"/>
          <w:szCs w:val="18"/>
        </w:rPr>
        <w:t>之后</w:t>
      </w:r>
      <w:r>
        <w:rPr>
          <w:rFonts w:hAnsi="等线"/>
          <w:sz w:val="18"/>
          <w:szCs w:val="18"/>
        </w:rPr>
        <w:t>的革命性进步。</w:t>
      </w:r>
      <w:r>
        <w:rPr>
          <w:rFonts w:hint="eastAsia" w:hAnsi="等线"/>
          <w:sz w:val="18"/>
          <w:szCs w:val="18"/>
        </w:rPr>
        <w:t>目前在临床肿瘤实践中，</w:t>
      </w:r>
      <w:r>
        <w:rPr>
          <w:rFonts w:hAnsi="等线"/>
          <w:sz w:val="18"/>
          <w:szCs w:val="18"/>
        </w:rPr>
        <w:t>NGS</w:t>
      </w:r>
      <w:r>
        <w:rPr>
          <w:rFonts w:hint="eastAsia" w:hAnsi="等线"/>
          <w:sz w:val="18"/>
          <w:szCs w:val="18"/>
        </w:rPr>
        <w:t>主要应用于驱动基因测序，是肿瘤精准诊疗的重要环节。</w:t>
      </w:r>
      <w:r>
        <w:rPr>
          <w:rFonts w:hAnsi="等线"/>
          <w:sz w:val="18"/>
          <w:szCs w:val="18"/>
        </w:rPr>
        <w:t>不同厂家的产品测序原理不同，主要</w:t>
      </w:r>
      <w:r>
        <w:rPr>
          <w:rFonts w:hint="eastAsia" w:hAnsi="等线"/>
          <w:sz w:val="18"/>
          <w:szCs w:val="18"/>
        </w:rPr>
        <w:t>分为边合成边测序（</w:t>
      </w:r>
      <w:r>
        <w:rPr>
          <w:rFonts w:hAnsi="等线"/>
          <w:sz w:val="18"/>
          <w:szCs w:val="18"/>
        </w:rPr>
        <w:t>Sequencing by synthesis，SBS）、基于“DNA簇”和“可逆性末端终结</w:t>
      </w:r>
      <w:r>
        <w:rPr>
          <w:rFonts w:hint="eastAsia" w:hAnsi="等线"/>
          <w:sz w:val="18"/>
          <w:szCs w:val="18"/>
        </w:rPr>
        <w:t>（</w:t>
      </w:r>
      <w:r>
        <w:rPr>
          <w:rFonts w:hAnsi="等线"/>
          <w:sz w:val="18"/>
          <w:szCs w:val="18"/>
        </w:rPr>
        <w:t>Reversible Terminator）大规模平行测序、4色荧光标记寡核苷酸的连续连接反应测序和半导体芯片测</w:t>
      </w:r>
      <w:r>
        <w:rPr>
          <w:rFonts w:hint="eastAsia" w:hAnsi="等线"/>
          <w:sz w:val="18"/>
          <w:szCs w:val="18"/>
        </w:rPr>
        <w:t>序。</w:t>
      </w:r>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相比传统基因检测方法，</w:t>
      </w:r>
      <w:r>
        <w:rPr>
          <w:rFonts w:hAnsi="等线"/>
          <w:sz w:val="18"/>
          <w:szCs w:val="18"/>
        </w:rPr>
        <w:t>NGS检测有明显的技术优</w:t>
      </w:r>
      <w:r>
        <w:rPr>
          <w:rFonts w:hint="eastAsia" w:hAnsi="等线"/>
          <w:sz w:val="18"/>
          <w:szCs w:val="18"/>
        </w:rPr>
        <w:t>势。</w:t>
      </w:r>
      <w:r>
        <w:rPr>
          <w:rFonts w:hAnsi="等线"/>
          <w:sz w:val="18"/>
          <w:szCs w:val="18"/>
        </w:rPr>
        <w:t>NGS可以一次性、特定时间（约10个工作日）产生覆盖</w:t>
      </w:r>
      <w:r>
        <w:rPr>
          <w:rFonts w:hint="eastAsia" w:hAnsi="等线"/>
          <w:sz w:val="18"/>
          <w:szCs w:val="18"/>
        </w:rPr>
        <w:t>基因组特定区域（从数个基因到数百个基因以至全外显子组或全基因组）的高通量测序数据，在临床诊疗中有重要的应用价值：①</w:t>
      </w:r>
      <w:r>
        <w:rPr>
          <w:rFonts w:hAnsi="等线"/>
          <w:sz w:val="18"/>
          <w:szCs w:val="18"/>
        </w:rPr>
        <w:t>NGS检测可同时检出多个基因的点</w:t>
      </w:r>
      <w:r>
        <w:rPr>
          <w:rFonts w:hint="eastAsia" w:hAnsi="等线"/>
          <w:sz w:val="18"/>
          <w:szCs w:val="18"/>
        </w:rPr>
        <w:t>突变、插入</w:t>
      </w:r>
      <w:r>
        <w:rPr>
          <w:rFonts w:hAnsi="等线"/>
          <w:sz w:val="18"/>
          <w:szCs w:val="18"/>
        </w:rPr>
        <w:t>/缺失、拷贝数变异、基因重排四种变异形式，</w:t>
      </w:r>
      <w:r>
        <w:rPr>
          <w:rFonts w:hint="eastAsia" w:hAnsi="等线"/>
          <w:sz w:val="18"/>
          <w:szCs w:val="18"/>
        </w:rPr>
        <w:t>提供全面的基因突变数据，为初诊晚期肿瘤</w:t>
      </w:r>
      <w:r>
        <w:rPr>
          <w:rFonts w:hAnsi="等线"/>
          <w:sz w:val="18"/>
          <w:szCs w:val="18"/>
        </w:rPr>
        <w:t>患者提供</w:t>
      </w:r>
      <w:r>
        <w:rPr>
          <w:rFonts w:hint="eastAsia" w:hAnsi="等线"/>
          <w:sz w:val="18"/>
          <w:szCs w:val="18"/>
        </w:rPr>
        <w:t>精准用药指导，包括正确选择靶向治疗方案、协助判断是否可使用免疫治疗方案、指导临床试验入组、提供疗效预测信息等；②避免由于单个基因序贯检测带来的样本耗竭和检测时间延长，更加快速地为患者治疗方案选择提供依据；③当患者出现疾病进展时再次进行全面的基因检测，有助于发现潜在的耐药机制，并且全面的基因变异检测信息可以为下一步治疗方案的选择提供依据；④尽管</w:t>
      </w:r>
      <w:r>
        <w:rPr>
          <w:rFonts w:hAnsi="等线"/>
          <w:sz w:val="18"/>
          <w:szCs w:val="18"/>
        </w:rPr>
        <w:t>NGS多基因同时分析的总成本较高，但对比</w:t>
      </w:r>
      <w:r>
        <w:rPr>
          <w:rFonts w:hint="eastAsia" w:hAnsi="等线"/>
          <w:sz w:val="18"/>
          <w:szCs w:val="18"/>
        </w:rPr>
        <w:t>传统检测方法，单个基因单个位点的平均检测费用已大大下降。</w:t>
      </w:r>
    </w:p>
    <w:p>
      <w:r>
        <w:br w:type="page"/>
      </w:r>
    </w:p>
    <w:p/>
    <w:p/>
    <w:p>
      <w:pPr>
        <w:spacing w:before="340" w:line="360" w:lineRule="auto"/>
        <w:jc w:val="left"/>
        <w:outlineLvl w:val="1"/>
        <w:rPr>
          <w:rFonts w:hAnsi="等线" w:cs="Arial"/>
          <w:b/>
          <w:bCs/>
          <w:color w:val="00B0F0"/>
          <w:sz w:val="28"/>
          <w:szCs w:val="28"/>
        </w:rPr>
      </w:pPr>
      <w:bookmarkStart w:id="80" w:name="_Toc89103163"/>
      <w:r>
        <w:rPr>
          <w:rFonts w:hAnsi="等线" w:cs="Arial"/>
          <w:b/>
          <w:bCs/>
          <w:color w:val="00B0F0"/>
          <w:sz w:val="28"/>
          <w:szCs w:val="28"/>
        </w:rPr>
        <w:drawing>
          <wp:anchor distT="0" distB="0" distL="114300" distR="114300" simplePos="0" relativeHeight="251677696" behindDoc="0" locked="0" layoutInCell="1" allowOverlap="1">
            <wp:simplePos x="0" y="0"/>
            <wp:positionH relativeFrom="column">
              <wp:posOffset>88900</wp:posOffset>
            </wp:positionH>
            <wp:positionV relativeFrom="paragraph">
              <wp:posOffset>263525</wp:posOffset>
            </wp:positionV>
            <wp:extent cx="295275" cy="297180"/>
            <wp:effectExtent l="0" t="0" r="9525" b="7620"/>
            <wp:wrapNone/>
            <wp:docPr id="1040" name="图片 58"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81" w:name="检测声明"/>
      <w:bookmarkEnd w:id="81"/>
      <w:r>
        <w:rPr>
          <w:rFonts w:hint="eastAsia" w:hAnsi="等线" w:cs="Arial"/>
          <w:b/>
          <w:bCs/>
          <w:color w:val="00B0F0"/>
          <w:sz w:val="28"/>
          <w:szCs w:val="28"/>
        </w:rPr>
        <w:t>检测声明</w:t>
      </w:r>
      <w:bookmarkEnd w:id="80"/>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此报告仅对送检样本负责，结果仅供临床医生参考。由于临床场景及肿瘤的复杂性，本报告不能承诺或保证任何特定药物或治疗方案在</w:t>
      </w:r>
      <w:r>
        <w:rPr>
          <w:rFonts w:hint="eastAsia" w:hAnsi="等线"/>
          <w:sz w:val="18"/>
          <w:szCs w:val="18"/>
        </w:rPr>
        <w:t>任意</w:t>
      </w:r>
      <w:r>
        <w:rPr>
          <w:rFonts w:hAnsi="等线"/>
          <w:sz w:val="18"/>
          <w:szCs w:val="18"/>
        </w:rPr>
        <w:t>患者中的有效性或毒副作用。</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N</w:t>
      </w:r>
      <w:r>
        <w:rPr>
          <w:rFonts w:hAnsi="等线"/>
          <w:sz w:val="18"/>
          <w:szCs w:val="18"/>
        </w:rPr>
        <w:t>GS</w:t>
      </w:r>
      <w:r>
        <w:rPr>
          <w:rFonts w:hint="eastAsia" w:hAnsi="等线"/>
          <w:sz w:val="18"/>
          <w:szCs w:val="18"/>
        </w:rPr>
        <w:t>已成为中国临床肿瘤医生常用检测工具之一，同时作为一类分子检测技术，必然存在一定的局限性，某些变异可能因为检测方法本身的局限性而无法确定其真实性；检测下限的存在一定程度上可能会导致阴性结果，但</w:t>
      </w:r>
      <w:r>
        <w:rPr>
          <w:rFonts w:hAnsi="等线"/>
          <w:sz w:val="18"/>
          <w:szCs w:val="18"/>
        </w:rPr>
        <w:t>在某些临床场景中，检测结果阴性的患者使用针对相应靶点的药物也可能有较好的响应，因此在特定临床场景中阴性患者也可尝试使用相应靶向药物</w:t>
      </w:r>
      <w:r>
        <w:rPr>
          <w:rFonts w:hint="eastAsia" w:hAnsi="等线"/>
          <w:sz w:val="18"/>
          <w:szCs w:val="18"/>
        </w:rPr>
        <w:t>。</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本检测可报告的变异，包括DNA水平的单核苷酸变异、小片段插入/缺失变异，基于</w:t>
      </w:r>
      <w:r>
        <w:rPr>
          <w:rFonts w:hAnsi="等线"/>
          <w:sz w:val="18"/>
          <w:szCs w:val="18"/>
        </w:rPr>
        <w:t>NGS</w:t>
      </w:r>
      <w:r>
        <w:rPr>
          <w:rFonts w:hint="eastAsia" w:hAnsi="等线"/>
          <w:sz w:val="18"/>
          <w:szCs w:val="18"/>
        </w:rPr>
        <w:t>数据的部分基因/区域的拷贝数异常，以及部分基因的常见融合/重排等。基因及探针等某些特殊区域可能因为技术本身问题而无法确认其真实性时，建议采用其它方法进行验证。</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标本的某些特征会影响检验结果的质量，例如，肿瘤组织基因突变的检验受到肿瘤细胞与正常细胞比例的影响；由于肿瘤异质性的存在，组织活检的结果受到取材部位的影响。因此本检测结果在临床实践中可能会受到肿瘤动态变化和异质性的限制，可能需要</w:t>
      </w:r>
      <w:r>
        <w:rPr>
          <w:rFonts w:hint="eastAsia" w:hAnsi="等线"/>
          <w:sz w:val="18"/>
          <w:szCs w:val="18"/>
        </w:rPr>
        <w:t>来自</w:t>
      </w:r>
      <w:r>
        <w:rPr>
          <w:rFonts w:hAnsi="等线"/>
          <w:sz w:val="18"/>
          <w:szCs w:val="18"/>
        </w:rPr>
        <w:t>不同时间的多个区域的连续活检以全面鉴定肿瘤驱动基因突变特征。</w:t>
      </w:r>
      <w:r>
        <w:rPr>
          <w:rFonts w:hint="eastAsia" w:hAnsi="等线"/>
          <w:sz w:val="18"/>
          <w:szCs w:val="18"/>
        </w:rPr>
        <w:t>本检测仅反映送检样本在采集当时患者的基因变异状态，并对其结果负责。</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由于本样本未送检外周血</w:t>
      </w:r>
      <w:r>
        <w:rPr>
          <w:rFonts w:hint="eastAsia" w:hAnsi="等线"/>
          <w:sz w:val="18"/>
          <w:szCs w:val="18"/>
          <w:lang w:val="en-US" w:eastAsia="zh-CN"/>
        </w:rPr>
        <w:t>对照样本</w:t>
      </w:r>
      <w:r>
        <w:rPr>
          <w:rFonts w:hint="eastAsia" w:hAnsi="等线"/>
          <w:sz w:val="18"/>
          <w:szCs w:val="18"/>
        </w:rPr>
        <w:t>，无法完全</w:t>
      </w:r>
      <w:r>
        <w:rPr>
          <w:rFonts w:hint="eastAsia" w:hAnsi="等线"/>
          <w:sz w:val="18"/>
          <w:szCs w:val="18"/>
          <w:lang w:val="en-US" w:eastAsia="zh-CN"/>
        </w:rPr>
        <w:t>确认</w:t>
      </w:r>
      <w:r>
        <w:rPr>
          <w:rFonts w:hint="eastAsia" w:hAnsi="等线"/>
          <w:sz w:val="18"/>
          <w:szCs w:val="18"/>
        </w:rPr>
        <w:t>突变是否为胚系变异</w:t>
      </w:r>
      <w:r>
        <w:rPr>
          <w:rFonts w:hint="eastAsia" w:hAnsi="等线"/>
          <w:sz w:val="18"/>
          <w:szCs w:val="18"/>
          <w:lang w:eastAsia="zh-CN"/>
        </w:rPr>
        <w:t>。</w:t>
      </w:r>
      <w:r>
        <w:rPr>
          <w:rFonts w:hint="eastAsia" w:hAnsi="等线"/>
          <w:sz w:val="18"/>
          <w:szCs w:val="18"/>
          <w:lang w:val="en-US" w:eastAsia="zh-CN"/>
        </w:rPr>
        <w:t>对于遗传性胚系变异的检测结果，</w:t>
      </w:r>
      <w:r>
        <w:rPr>
          <w:rFonts w:hint="eastAsia" w:hAnsi="等线"/>
          <w:sz w:val="18"/>
          <w:szCs w:val="18"/>
        </w:rPr>
        <w:t>建议临床医生结合患者家族史</w:t>
      </w:r>
      <w:r>
        <w:rPr>
          <w:rFonts w:hint="eastAsia" w:hAnsi="等线"/>
          <w:sz w:val="18"/>
          <w:szCs w:val="18"/>
          <w:lang w:eastAsia="zh-CN"/>
        </w:rPr>
        <w:t>、</w:t>
      </w:r>
      <w:r>
        <w:rPr>
          <w:rFonts w:hint="eastAsia" w:hAnsi="等线"/>
          <w:sz w:val="18"/>
          <w:szCs w:val="18"/>
          <w:lang w:val="en-US" w:eastAsia="zh-CN"/>
        </w:rPr>
        <w:t>病理诊断</w:t>
      </w:r>
      <w:r>
        <w:rPr>
          <w:rFonts w:hint="eastAsia" w:hAnsi="等线"/>
          <w:sz w:val="18"/>
          <w:szCs w:val="18"/>
        </w:rPr>
        <w:t>等信息，谨慎参考</w:t>
      </w:r>
      <w:r>
        <w:rPr>
          <w:rFonts w:hint="eastAsia" w:hAnsi="等线"/>
          <w:sz w:val="18"/>
          <w:szCs w:val="18"/>
          <w:lang w:val="en-US" w:eastAsia="zh-CN"/>
        </w:rPr>
        <w:t>本报告</w:t>
      </w:r>
      <w:r>
        <w:rPr>
          <w:rFonts w:hint="eastAsia" w:hAnsi="等线"/>
          <w:sz w:val="18"/>
          <w:szCs w:val="18"/>
        </w:rPr>
        <w:t>。必要时，可送检外周血</w:t>
      </w:r>
      <w:r>
        <w:rPr>
          <w:rFonts w:hint="eastAsia" w:hAnsi="等线"/>
          <w:sz w:val="18"/>
          <w:szCs w:val="18"/>
          <w:lang w:val="en-US" w:eastAsia="zh-CN"/>
        </w:rPr>
        <w:t>对照样本</w:t>
      </w:r>
      <w:r>
        <w:rPr>
          <w:rFonts w:hint="eastAsia" w:hAnsi="等线"/>
          <w:sz w:val="18"/>
          <w:szCs w:val="18"/>
        </w:rPr>
        <w:t>，</w:t>
      </w:r>
      <w:r>
        <w:rPr>
          <w:rFonts w:hint="eastAsia" w:hAnsi="等线"/>
          <w:sz w:val="18"/>
          <w:szCs w:val="18"/>
          <w:lang w:val="en-US" w:eastAsia="zh-CN"/>
        </w:rPr>
        <w:t>进一步</w:t>
      </w:r>
      <w:r>
        <w:rPr>
          <w:rFonts w:hint="eastAsia" w:hAnsi="等线"/>
          <w:sz w:val="18"/>
          <w:szCs w:val="18"/>
        </w:rPr>
        <w:t>排除胚系变异的可能。</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本报告仅为科研性质报告，所得结论来自于目前学术最前沿的研究进展，不具备医嘱性质，具体的治疗方案须由临床医生决定。</w:t>
      </w:r>
      <w:r>
        <w:rPr>
          <w:rFonts w:hAnsi="等线"/>
          <w:sz w:val="18"/>
          <w:szCs w:val="18"/>
        </w:rPr>
        <w:t>对本检测报告中所列药物的选择权属于受检者的主管医生，应根据患者的病情进展及体质状况、用药史而不是</w:t>
      </w:r>
      <w:r>
        <w:rPr>
          <w:rFonts w:hint="eastAsia" w:hAnsi="等线"/>
          <w:sz w:val="18"/>
          <w:szCs w:val="18"/>
        </w:rPr>
        <w:t>仅</w:t>
      </w:r>
      <w:r>
        <w:rPr>
          <w:rFonts w:hAnsi="等线"/>
          <w:sz w:val="18"/>
          <w:szCs w:val="18"/>
        </w:rPr>
        <w:t>依据单项检测的结果做出医疗决策。本报告包含的信息在生成报告时均为最新版本，随着新的医学研究或临床发现的涌现，相关信息随时可能发生变化。在某些情况下，之前的信息可能会在临床意义上重新归类或对应于新的推荐药物。</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基因检测报告属于患者个人隐私信息，若非患者本人知情同意，禁止向任何人或机构复制或传送本报告内容。</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本样本有一定保存期限，若对报告结果有疑问，请</w:t>
      </w:r>
      <w:r>
        <w:rPr>
          <w:rFonts w:hint="eastAsia" w:hAnsi="等线"/>
          <w:sz w:val="18"/>
          <w:szCs w:val="18"/>
        </w:rPr>
        <w:t>于</w:t>
      </w:r>
      <w:r>
        <w:rPr>
          <w:rFonts w:hAnsi="等线"/>
          <w:sz w:val="18"/>
          <w:szCs w:val="18"/>
        </w:rPr>
        <w:t>报告日起15天内提出异议及复检申请，逾期不再受理</w:t>
      </w:r>
      <w:r>
        <w:rPr>
          <w:rFonts w:hint="eastAsia" w:hAnsi="等线"/>
          <w:sz w:val="18"/>
          <w:szCs w:val="18"/>
        </w:rPr>
        <w:t>且</w:t>
      </w:r>
      <w:r>
        <w:rPr>
          <w:rFonts w:hAnsi="等线"/>
          <w:sz w:val="18"/>
          <w:szCs w:val="18"/>
        </w:rPr>
        <w:t>视为验收合格。</w:t>
      </w:r>
    </w:p>
    <w:p>
      <w:pPr>
        <w:snapToGrid w:val="0"/>
        <w:spacing w:line="276" w:lineRule="auto"/>
        <w:jc w:val="left"/>
        <w:rPr>
          <w:rFonts w:hAnsi="等线"/>
          <w:szCs w:val="21"/>
        </w:rPr>
      </w:pPr>
    </w:p>
    <w:p>
      <w:pPr>
        <w:snapToGrid w:val="0"/>
        <w:spacing w:line="276" w:lineRule="auto"/>
        <w:jc w:val="left"/>
        <w:rPr>
          <w:rFonts w:hAnsi="等线"/>
        </w:rPr>
      </w:pPr>
    </w:p>
    <w:tbl>
      <w:tblPr>
        <w:tblStyle w:val="21"/>
        <w:tblW w:w="375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710"/>
        <w:gridCol w:w="36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14" w:type="dxa"/>
          </w:tcPr>
          <w:p>
            <w:pPr>
              <w:snapToGrid w:val="0"/>
              <w:spacing w:before="120" w:after="120" w:line="300" w:lineRule="auto"/>
              <w:jc w:val="left"/>
              <w:rPr>
                <w:rFonts w:hAnsi="等线"/>
                <w:szCs w:val="21"/>
              </w:rPr>
            </w:pPr>
            <w:r>
              <w:rPr>
                <w:rFonts w:hint="eastAsia" w:hAnsi="等线"/>
                <w:szCs w:val="21"/>
              </w:rPr>
              <w:t>检测人：</w:t>
            </w:r>
          </w:p>
        </w:tc>
        <w:tc>
          <w:tcPr>
            <w:tcW w:w="4814" w:type="dxa"/>
          </w:tcPr>
          <w:p>
            <w:pPr>
              <w:snapToGrid w:val="0"/>
              <w:spacing w:before="120" w:after="120" w:line="300" w:lineRule="auto"/>
              <w:jc w:val="left"/>
              <w:rPr>
                <w:rFonts w:hAnsi="等线"/>
                <w:szCs w:val="21"/>
              </w:rPr>
            </w:pPr>
            <w:r>
              <w:rPr>
                <w:rFonts w:hint="eastAsia" w:hAnsi="等线"/>
                <w:szCs w:val="21"/>
              </w:rPr>
              <w:t>审核人：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14" w:type="dxa"/>
          </w:tcPr>
          <w:p>
            <w:pPr>
              <w:snapToGrid w:val="0"/>
              <w:spacing w:before="120" w:after="120" w:line="300" w:lineRule="auto"/>
              <w:jc w:val="left"/>
              <w:rPr>
                <w:rFonts w:hint="eastAsia" w:hAnsi="等线" w:eastAsia="等线"/>
                <w:szCs w:val="21"/>
                <w:lang w:eastAsia="zh-CN"/>
              </w:rPr>
            </w:pPr>
            <w:r>
              <w:rPr>
                <w:rFonts w:hint="eastAsia" w:hAnsi="等线"/>
                <w:szCs w:val="21"/>
              </w:rPr>
              <w:t>检测日期：</w:t>
            </w:r>
            <w:r>
              <w:rPr>
                <w:rFonts w:hint="eastAsia" w:hAnsi="等线"/>
                <w:szCs w:val="21"/>
                <w:lang w:eastAsia="zh-CN" w:bidi="ar"/>
              </w:rPr>
              <w:t xml:space="preserve">2023-03-25</w:t>
            </w:r>
          </w:p>
        </w:tc>
        <w:tc>
          <w:tcPr>
            <w:tcW w:w="4814" w:type="dxa"/>
          </w:tcPr>
          <w:p>
            <w:pPr>
              <w:snapToGrid w:val="0"/>
              <w:spacing w:before="120" w:after="120" w:line="300" w:lineRule="auto"/>
              <w:jc w:val="left"/>
              <w:rPr>
                <w:rFonts w:hint="eastAsia" w:hAnsi="等线" w:eastAsia="等线"/>
                <w:szCs w:val="21"/>
                <w:lang w:eastAsia="zh-CN"/>
              </w:rPr>
            </w:pPr>
            <w:r>
              <w:rPr>
                <w:rFonts w:hint="eastAsia" w:hAnsi="等线"/>
                <w:szCs w:val="21"/>
              </w:rPr>
              <w:t>审核日期：</w:t>
            </w:r>
            <w:r>
              <w:rPr>
                <w:rFonts w:hint="eastAsia" w:hAnsi="等线"/>
                <w:szCs w:val="21"/>
                <w:lang w:eastAsia="zh-CN" w:bidi="ar"/>
              </w:rPr>
              <w:t xml:space="preserve">2023-07-31</w:t>
            </w:r>
          </w:p>
        </w:tc>
      </w:tr>
    </w:tbl>
    <w:p>
      <w:pPr>
        <w:rPr>
          <w:rFonts w:hAnsi="等线"/>
          <w:szCs w:val="21"/>
        </w:rPr>
      </w:pPr>
      <w:r>
        <w:rPr>
          <w:rFonts w:hAnsi="等线"/>
          <w:szCs w:val="21"/>
        </w:rPr>
        <w:br w:type="page"/>
      </w:r>
    </w:p>
    <w:p>
      <w:pPr>
        <w:pStyle w:val="2"/>
        <w:spacing w:after="0"/>
        <w:jc w:val="center"/>
        <w:rPr>
          <w:rFonts w:hAnsi="等线"/>
          <w:color w:val="00B0F0"/>
          <w:sz w:val="40"/>
          <w:szCs w:val="40"/>
        </w:rPr>
      </w:pPr>
      <w:bookmarkStart w:id="82" w:name="_Toc89103164"/>
      <w:bookmarkStart w:id="83" w:name="_Toc81378421"/>
      <w:bookmarkStart w:id="84" w:name="_Ref80948838"/>
      <w:bookmarkStart w:id="85" w:name="_Ref80371497"/>
      <w:r>
        <w:rPr>
          <w:rFonts w:hAnsi="等线"/>
          <w:color w:val="00B0F0"/>
          <w:sz w:val="40"/>
          <w:szCs w:val="40"/>
        </w:rPr>
        <w:t>Part 5</w:t>
      </w:r>
      <w:bookmarkStart w:id="86" w:name="Part5：附录"/>
      <w:bookmarkEnd w:id="86"/>
      <w:r>
        <w:rPr>
          <w:rFonts w:hAnsi="等线"/>
          <w:color w:val="00B0F0"/>
          <w:sz w:val="40"/>
          <w:szCs w:val="40"/>
        </w:rPr>
        <w:t>: 附录</w:t>
      </w:r>
      <w:bookmarkEnd w:id="82"/>
      <w:bookmarkEnd w:id="83"/>
      <w:bookmarkEnd w:id="84"/>
      <w:bookmarkEnd w:id="85"/>
      <w:bookmarkStart w:id="87" w:name="_Toc81378423"/>
      <w:bookmarkStart w:id="88" w:name="_Ref80371507"/>
      <w:bookmarkStart w:id="89" w:name="_Toc89103165"/>
    </w:p>
    <w:bookmarkEnd w:id="87"/>
    <w:bookmarkEnd w:id="88"/>
    <w:p>
      <w:pPr>
        <w:spacing w:before="340" w:line="360" w:lineRule="auto"/>
        <w:ind w:firstLine="600" w:firstLineChars="200"/>
        <w:jc w:val="left"/>
        <w:outlineLvl w:val="1"/>
        <w:rPr>
          <w:rFonts w:hint="eastAsia" w:hAnsi="等线" w:cs="Arial"/>
          <w:b/>
          <w:bCs/>
          <w:color w:val="00B0F0"/>
          <w:sz w:val="30"/>
          <w:szCs w:val="30"/>
        </w:rPr>
      </w:pPr>
      <w:bookmarkStart w:id="90" w:name="基因列表"/>
      <w:bookmarkEnd w:id="90"/>
      <w:r>
        <w:rPr>
          <w:rFonts w:hint="eastAsia" w:hAnsi="等线" w:cs="Arial"/>
          <w:b/>
          <w:bCs/>
          <w:color w:val="00B0F0"/>
          <w:sz w:val="30"/>
          <w:szCs w:val="30"/>
        </w:rPr>
        <w:drawing>
          <wp:anchor distT="0" distB="0" distL="114300" distR="114300" simplePos="0" relativeHeight="251678720" behindDoc="0" locked="0" layoutInCell="1" allowOverlap="1">
            <wp:simplePos x="0" y="0"/>
            <wp:positionH relativeFrom="column">
              <wp:posOffset>71755</wp:posOffset>
            </wp:positionH>
            <wp:positionV relativeFrom="paragraph">
              <wp:posOffset>266065</wp:posOffset>
            </wp:positionV>
            <wp:extent cx="295275" cy="297180"/>
            <wp:effectExtent l="0" t="0" r="9525" b="7620"/>
            <wp:wrapNone/>
            <wp:docPr id="1041" name="图片 68"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rPr>
        <w:t>基因</w:t>
      </w:r>
      <w:r>
        <w:rPr>
          <w:rFonts w:hint="eastAsia" w:hAnsi="等线" w:cs="Arial"/>
          <w:b/>
          <w:bCs/>
          <w:color w:val="00B0F0"/>
          <w:sz w:val="30"/>
          <w:szCs w:val="30"/>
          <w:lang w:val="en-US" w:eastAsia="zh-CN"/>
        </w:rPr>
        <w:t>检测</w:t>
      </w:r>
      <w:r>
        <w:rPr>
          <w:rFonts w:hint="eastAsia" w:hAnsi="等线" w:cs="Arial"/>
          <w:b/>
          <w:bCs/>
          <w:color w:val="00B0F0"/>
          <w:sz w:val="30"/>
          <w:szCs w:val="30"/>
        </w:rPr>
        <w:t>列表</w:t>
      </w:r>
      <w:bookmarkEnd w:id="89"/>
      <w:r>
        <w:rPr>
          <w:rFonts w:hint="eastAsia" w:hAnsi="等线" w:cs="Arial"/>
          <w:b/>
          <w:bCs/>
          <w:color w:val="00B0F0"/>
          <w:sz w:val="30"/>
          <w:szCs w:val="30"/>
        </w:rPr>
        <mc:AlternateContent>
          <mc:Choice Requires="wps">
            <w:drawing>
              <wp:anchor distT="0" distB="0" distL="114300" distR="114300" simplePos="0" relativeHeight="251671552" behindDoc="0" locked="0" layoutInCell="1" allowOverlap="1">
                <wp:simplePos x="0" y="0"/>
                <wp:positionH relativeFrom="column">
                  <wp:posOffset>1242060</wp:posOffset>
                </wp:positionH>
                <wp:positionV relativeFrom="paragraph">
                  <wp:posOffset>-530225</wp:posOffset>
                </wp:positionV>
                <wp:extent cx="3726180" cy="561975"/>
                <wp:effectExtent l="12700" t="12700" r="25400" b="19685"/>
                <wp:wrapNone/>
                <wp:docPr id="1042"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7.8pt;margin-top:-41.75pt;height:44.25pt;width:293.4pt;z-index:251671552;v-text-anchor:middle;mso-width-relative:page;mso-height-relative:page;" filled="f" stroked="t" coordsize="21600,21600" arcsize="0.166666666666667" o:gfxdata="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GZMGUjbAAAACQEAAA8A&#10;AAAAAAAAAQAgAAAAIgAAAGRycy9kb3ducmV2LnhtbFBLAQIUABQAAAAIAIdO4kDDVuAvhgIAAOIE&#10;AAAOAAAAAAAAAAEAIAAAACo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p>
    <w:p>
      <w:r>
        <w:rPr>
          <w:sz w:val="21"/>
        </w:rPr>
        <mc:AlternateContent>
          <mc:Choice Requires="wps">
            <w:drawing>
              <wp:anchor distT="0" distB="0" distL="114300" distR="114300" simplePos="0" relativeHeight="251704320" behindDoc="0" locked="0" layoutInCell="1" allowOverlap="1">
                <wp:simplePos x="0" y="0"/>
                <wp:positionH relativeFrom="column">
                  <wp:posOffset>3005455</wp:posOffset>
                </wp:positionH>
                <wp:positionV relativeFrom="paragraph">
                  <wp:posOffset>22225</wp:posOffset>
                </wp:positionV>
                <wp:extent cx="3312160" cy="810895"/>
                <wp:effectExtent l="0" t="0" r="0" b="0"/>
                <wp:wrapNone/>
                <wp:docPr id="1043" name="文本框 11"/>
                <wp:cNvGraphicFramePr/>
                <a:graphic xmlns:a="http://schemas.openxmlformats.org/drawingml/2006/main">
                  <a:graphicData uri="http://schemas.microsoft.com/office/word/2010/wordprocessingShape">
                    <wps:wsp>
                      <wps:cNvSpPr txBox="1"/>
                      <wps:spPr>
                        <a:xfrm>
                          <a:off x="1097280" y="4558030"/>
                          <a:ext cx="3312160" cy="8108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8"/>
                              <w:gridCol w:w="948"/>
                              <w:gridCol w:w="949"/>
                              <w:gridCol w:w="949"/>
                              <w:gridCol w:w="952"/>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op w:val="nil"/>
                                    <w:bottom w:val="nil"/>
                                  </w:tcBorders>
                                  <w:shd w:val="clear" w:color="auto" w:fill="00B05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MMR相关基因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 w:type="pct"/>
                                <w:trHeight w:val="340" w:hRule="atLeast"/>
                                <w:jc w:val="center"/>
                              </w:trPr>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999"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65pt;margin-top:1.75pt;height:63.85pt;width:260.8pt;z-index:251704320;mso-width-relative:page;mso-height-relative:page;" filled="f" stroked="f" coordsize="21600,21600" o:gfxdata="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H5CIkrbAAAACQEAAA8AAAAAAAAA&#10;AQAgAAAAIgAAAGRycy9kb3ducmV2LnhtbFBLAQIUABQAAAAIAIdO4kDwOXo1RwIAAHQEAAAOAAAA&#10;AAAAAAEAIAAAACoBAABkcnMvZTJvRG9jLnhtbFBLBQYAAAAABgAGAFkBAADjBQAAAAA=&#10;">
                <v:fill on="f" focussize="0,0"/>
                <v:stroke on="f" weight="0.5pt"/>
                <v:imagedata o:title=""/>
                <o:lock v:ext="edit" aspectratio="f"/>
                <v:textbo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8"/>
                        <w:gridCol w:w="948"/>
                        <w:gridCol w:w="949"/>
                        <w:gridCol w:w="949"/>
                        <w:gridCol w:w="952"/>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op w:val="nil"/>
                              <w:bottom w:val="nil"/>
                            </w:tcBorders>
                            <w:shd w:val="clear" w:color="auto" w:fill="00B05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MMR相关基因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 w:type="pct"/>
                          <w:trHeight w:val="340" w:hRule="atLeast"/>
                          <w:jc w:val="center"/>
                        </w:trPr>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999"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r>
                    </w:tbl>
                    <w:p/>
                  </w:txbxContent>
                </v:textbox>
              </v:shape>
            </w:pict>
          </mc:Fallback>
        </mc:AlternateContent>
      </w:r>
      <w:r>
        <w:rPr>
          <w:rFonts w:hint="eastAsia" w:hAnsi="等线" w:cs="Arial"/>
          <w:b/>
          <w:bCs/>
          <w:color w:val="00B0F0"/>
          <w:sz w:val="30"/>
          <w:szCs w:val="30"/>
        </w:rPr>
        <mc:AlternateContent>
          <mc:Choice Requires="wps">
            <w:drawing>
              <wp:anchor distT="0" distB="0" distL="114300" distR="114300" simplePos="0" relativeHeight="251702272" behindDoc="0" locked="0" layoutInCell="1" allowOverlap="1">
                <wp:simplePos x="0" y="0"/>
                <wp:positionH relativeFrom="column">
                  <wp:posOffset>-198120</wp:posOffset>
                </wp:positionH>
                <wp:positionV relativeFrom="paragraph">
                  <wp:posOffset>16510</wp:posOffset>
                </wp:positionV>
                <wp:extent cx="3312160" cy="2670175"/>
                <wp:effectExtent l="0" t="0" r="0" b="0"/>
                <wp:wrapNone/>
                <wp:docPr id="1044" name="文本框 2"/>
                <wp:cNvGraphicFramePr/>
                <a:graphic xmlns:a="http://schemas.openxmlformats.org/drawingml/2006/main">
                  <a:graphicData uri="http://schemas.microsoft.com/office/word/2010/wordprocessingShape">
                    <wps:wsp>
                      <wps:cNvSpPr txBox="1"/>
                      <wps:spPr>
                        <a:xfrm>
                          <a:off x="917575" y="3220085"/>
                          <a:ext cx="3312160" cy="2670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3"/>
                              <w:gridCol w:w="792"/>
                              <w:gridCol w:w="793"/>
                              <w:gridCol w:w="792"/>
                              <w:gridCol w:w="792"/>
                              <w:gridCol w:w="793"/>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7"/>
                                  <w:tcBorders>
                                    <w:top w:val="single" w:color="5B9BD5" w:themeColor="accent5" w:sz="4" w:space="0"/>
                                    <w:tl2br w:val="nil"/>
                                    <w:tr2bl w:val="nil"/>
                                  </w:tcBorders>
                                  <w:shd w:val="clear" w:color="auto" w:fill="4472C4"/>
                                  <w:vAlign w:val="center"/>
                                </w:tcPr>
                                <w:p>
                                  <w:pPr>
                                    <w:keepNext w:val="0"/>
                                    <w:keepLines w:val="0"/>
                                    <w:widowControl/>
                                    <w:suppressLineNumbers w:val="0"/>
                                    <w:spacing w:before="78" w:beforeLines="25" w:beforeAutospacing="0" w:after="78" w:afterLines="25" w:afterAutospacing="0"/>
                                    <w:ind w:left="0" w:right="0"/>
                                    <w:jc w:val="center"/>
                                    <w:rPr>
                                      <w:rFonts w:hint="eastAsia" w:hAnsi="等线" w:cs="Arial"/>
                                      <w:b/>
                                      <w:bCs/>
                                      <w:color w:val="FFFFFF" w:themeColor="background1"/>
                                      <w:sz w:val="15"/>
                                      <w:szCs w:val="15"/>
                                      <w14:textFill>
                                        <w14:solidFill>
                                          <w14:schemeClr w14:val="bg1"/>
                                        </w14:solidFill>
                                      </w14:textFill>
                                    </w:rPr>
                                  </w:pPr>
                                  <w:r>
                                    <w:rPr>
                                      <w:rFonts w:hint="eastAsia" w:hAnsi="等线" w:cs="Arial"/>
                                      <w:b/>
                                      <w:bCs/>
                                      <w:color w:val="FFFFFF" w:themeColor="background1"/>
                                      <w:sz w:val="21"/>
                                      <w:szCs w:val="21"/>
                                      <w14:textFill>
                                        <w14:solidFill>
                                          <w14:schemeClr w14:val="bg1"/>
                                        </w14:solidFill>
                                      </w14:textFill>
                                    </w:rPr>
                                    <w:t>靶向用药相关基因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AKT1</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ALK</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APC</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ATM</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BARD1</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BRAF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BRCA1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BRCA2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BRIP1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CDK4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CDKN2A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CSF1R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EGFR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ERBB2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FANCL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IDH1</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KDR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KIT</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KRAS</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MAP2K1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MET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MTOR</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NF1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NRAS</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PALB2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PDGFRA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PIK3CA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PTEN</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RAD51B</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RAD51D</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RAD54L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RB1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RET</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ROS1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SDHB</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SDHC</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SDHD</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SMAD4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SMO</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TP53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VHL</w:t>
                                  </w: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1"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6pt;margin-top:1.3pt;height:210.25pt;width:260.8pt;z-index:251702272;mso-width-relative:page;mso-height-relative:page;" filled="f" stroked="f" coordsize="21600,21600" o:gfxdata="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KZ5sBjbAAAACQEAAA8AAAAAAAAA&#10;AQAgAAAAIgAAAGRycy9kb3ducmV2LnhtbFBLAQIUABQAAAAIAIdO4kAJ+wiJRwIAAHIEAAAOAAAA&#10;AAAAAAEAIAAAACoBAABkcnMvZTJvRG9jLnhtbFBLBQYAAAAABgAGAFkBAADjBQAAAAA=&#10;">
                <v:fill on="f" focussize="0,0"/>
                <v:stroke on="f" weight="0.5pt"/>
                <v:imagedata o:title=""/>
                <o:lock v:ext="edit" aspectratio="f"/>
                <v:textbo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3"/>
                        <w:gridCol w:w="792"/>
                        <w:gridCol w:w="793"/>
                        <w:gridCol w:w="792"/>
                        <w:gridCol w:w="792"/>
                        <w:gridCol w:w="793"/>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7"/>
                            <w:tcBorders>
                              <w:top w:val="single" w:color="5B9BD5" w:themeColor="accent5" w:sz="4" w:space="0"/>
                              <w:tl2br w:val="nil"/>
                              <w:tr2bl w:val="nil"/>
                            </w:tcBorders>
                            <w:shd w:val="clear" w:color="auto" w:fill="4472C4"/>
                            <w:vAlign w:val="center"/>
                          </w:tcPr>
                          <w:p>
                            <w:pPr>
                              <w:keepNext w:val="0"/>
                              <w:keepLines w:val="0"/>
                              <w:widowControl/>
                              <w:suppressLineNumbers w:val="0"/>
                              <w:spacing w:before="78" w:beforeLines="25" w:beforeAutospacing="0" w:after="78" w:afterLines="25" w:afterAutospacing="0"/>
                              <w:ind w:left="0" w:right="0"/>
                              <w:jc w:val="center"/>
                              <w:rPr>
                                <w:rFonts w:hint="eastAsia" w:hAnsi="等线" w:cs="Arial"/>
                                <w:b/>
                                <w:bCs/>
                                <w:color w:val="FFFFFF" w:themeColor="background1"/>
                                <w:sz w:val="15"/>
                                <w:szCs w:val="15"/>
                                <w14:textFill>
                                  <w14:solidFill>
                                    <w14:schemeClr w14:val="bg1"/>
                                  </w14:solidFill>
                                </w14:textFill>
                              </w:rPr>
                            </w:pPr>
                            <w:r>
                              <w:rPr>
                                <w:rFonts w:hint="eastAsia" w:hAnsi="等线" w:cs="Arial"/>
                                <w:b/>
                                <w:bCs/>
                                <w:color w:val="FFFFFF" w:themeColor="background1"/>
                                <w:sz w:val="21"/>
                                <w:szCs w:val="21"/>
                                <w14:textFill>
                                  <w14:solidFill>
                                    <w14:schemeClr w14:val="bg1"/>
                                  </w14:solidFill>
                                </w14:textFill>
                              </w:rPr>
                              <w:t>靶向用药相关基因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AKT1</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ALK</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APC</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ATM</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BARD1</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BRAF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BRCA1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BRCA2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BRIP1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CDK4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CDKN2A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CSF1R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EGFR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ERBB2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FANCL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IDH1</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KDR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KIT</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KRAS</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MAP2K1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MET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MTOR</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NF1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NRAS</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PALB2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PDGFRA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PIK3CA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PTEN</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RAD51B</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RAD51D</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RAD54L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RB1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RET</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ROS1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SDHB</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SDHC</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SDHD</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SMAD4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SMO</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TP53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VHL</w:t>
                            </w: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1"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r>
        <w:rPr>
          <w:sz w:val="21"/>
        </w:rPr>
        <mc:AlternateContent>
          <mc:Choice Requires="wps">
            <w:drawing>
              <wp:anchor distT="0" distB="0" distL="114300" distR="114300" simplePos="0" relativeHeight="251706368" behindDoc="0" locked="0" layoutInCell="1" allowOverlap="1">
                <wp:simplePos x="0" y="0"/>
                <wp:positionH relativeFrom="column">
                  <wp:posOffset>3008630</wp:posOffset>
                </wp:positionH>
                <wp:positionV relativeFrom="paragraph">
                  <wp:posOffset>196215</wp:posOffset>
                </wp:positionV>
                <wp:extent cx="3312160" cy="883285"/>
                <wp:effectExtent l="0" t="0" r="0" b="0"/>
                <wp:wrapNone/>
                <wp:docPr id="1045" name="文本框 16"/>
                <wp:cNvGraphicFramePr/>
                <a:graphic xmlns:a="http://schemas.openxmlformats.org/drawingml/2006/main">
                  <a:graphicData uri="http://schemas.microsoft.com/office/word/2010/wordprocessingShape">
                    <wps:wsp>
                      <wps:cNvSpPr txBox="1"/>
                      <wps:spPr>
                        <a:xfrm>
                          <a:off x="0" y="0"/>
                          <a:ext cx="3312160" cy="8832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5"/>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l2br w:val="nil"/>
                                    <w:tr2bl w:val="nil"/>
                                  </w:tcBorders>
                                  <w:shd w:val="clear" w:color="auto" w:fill="3FC0C1"/>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hAnsi="等线" w:cs="Arial"/>
                                      <w:b/>
                                      <w:bCs/>
                                      <w:color w:val="F9FBFA"/>
                                      <w:szCs w:val="21"/>
                                      <w:lang w:val="en-US" w:eastAsia="zh-CN"/>
                                    </w:rPr>
                                    <w:t>遗传性肿瘤</w:t>
                                  </w:r>
                                  <w:r>
                                    <w:rPr>
                                      <w:rFonts w:hint="eastAsia" w:ascii="等线" w:hAnsi="等线" w:eastAsia="等线" w:cs="Arial"/>
                                      <w:b/>
                                      <w:bCs/>
                                      <w:color w:val="F9FBFA"/>
                                      <w:szCs w:val="21"/>
                                    </w:rPr>
                                    <w:t>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APC</w:t>
                                  </w:r>
                                </w:p>
                              </w:tc>
                              <w:tc>
                                <w:tcPr>
                                  <w:tcW w:w="777"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c>
                                <w:tcPr>
                                  <w:tcW w:w="778"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779"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780"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78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MUTYH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777"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PTEN</w:t>
                                  </w:r>
                                </w:p>
                              </w:tc>
                              <w:tc>
                                <w:tcPr>
                                  <w:tcW w:w="778"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SMAD4</w:t>
                                  </w:r>
                                </w:p>
                              </w:tc>
                              <w:tc>
                                <w:tcPr>
                                  <w:tcW w:w="779"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STK11</w:t>
                                  </w:r>
                                </w:p>
                              </w:tc>
                              <w:tc>
                                <w:tcPr>
                                  <w:tcW w:w="780"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TP53</w:t>
                                  </w:r>
                                </w:p>
                              </w:tc>
                              <w:tc>
                                <w:tcPr>
                                  <w:tcW w:w="78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9pt;margin-top:15.45pt;height:69.55pt;width:260.8pt;z-index:251706368;mso-width-relative:page;mso-height-relative:page;" filled="f" stroked="f" coordsize="21600,21600" o:gfxdata="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3XUL0tsAAAAKAQAADwAAAAAAAAABACAAAAAiAAAA&#10;ZHJzL2Rvd25yZXYueG1sUEsBAhQAFAAAAAgAh07iQB1eAvs9AgAAaAQAAA4AAAAAAAAAAQAgAAAA&#10;KgEAAGRycy9lMm9Eb2MueG1sUEsFBgAAAAAGAAYAWQEAANkFAAAAAA==&#10;">
                <v:fill on="f" focussize="0,0"/>
                <v:stroke on="f" weight="0.5pt"/>
                <v:imagedata o:title=""/>
                <o:lock v:ext="edit" aspectratio="f"/>
                <v:textbo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5"/>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l2br w:val="nil"/>
                              <w:tr2bl w:val="nil"/>
                            </w:tcBorders>
                            <w:shd w:val="clear" w:color="auto" w:fill="3FC0C1"/>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hAnsi="等线" w:cs="Arial"/>
                                <w:b/>
                                <w:bCs/>
                                <w:color w:val="F9FBFA"/>
                                <w:szCs w:val="21"/>
                                <w:lang w:val="en-US" w:eastAsia="zh-CN"/>
                              </w:rPr>
                              <w:t>遗传性肿瘤</w:t>
                            </w:r>
                            <w:r>
                              <w:rPr>
                                <w:rFonts w:hint="eastAsia" w:ascii="等线" w:hAnsi="等线" w:eastAsia="等线" w:cs="Arial"/>
                                <w:b/>
                                <w:bCs/>
                                <w:color w:val="F9FBFA"/>
                                <w:szCs w:val="21"/>
                              </w:rPr>
                              <w:t>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APC</w:t>
                            </w:r>
                          </w:p>
                        </w:tc>
                        <w:tc>
                          <w:tcPr>
                            <w:tcW w:w="777"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c>
                          <w:tcPr>
                            <w:tcW w:w="778"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779"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780"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78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MUTYH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777"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PTEN</w:t>
                            </w:r>
                          </w:p>
                        </w:tc>
                        <w:tc>
                          <w:tcPr>
                            <w:tcW w:w="778"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SMAD4</w:t>
                            </w:r>
                          </w:p>
                        </w:tc>
                        <w:tc>
                          <w:tcPr>
                            <w:tcW w:w="779"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STK11</w:t>
                            </w:r>
                          </w:p>
                        </w:tc>
                        <w:tc>
                          <w:tcPr>
                            <w:tcW w:w="780"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TP53</w:t>
                            </w:r>
                          </w:p>
                        </w:tc>
                        <w:tc>
                          <w:tcPr>
                            <w:tcW w:w="78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p/>
    <w:p>
      <w:r>
        <w:rPr>
          <w:sz w:val="21"/>
        </w:rPr>
        <mc:AlternateContent>
          <mc:Choice Requires="wps">
            <w:drawing>
              <wp:anchor distT="0" distB="0" distL="114300" distR="114300" simplePos="0" relativeHeight="251705344" behindDoc="0" locked="0" layoutInCell="1" allowOverlap="1">
                <wp:simplePos x="0" y="0"/>
                <wp:positionH relativeFrom="column">
                  <wp:posOffset>3018790</wp:posOffset>
                </wp:positionH>
                <wp:positionV relativeFrom="paragraph">
                  <wp:posOffset>7620</wp:posOffset>
                </wp:positionV>
                <wp:extent cx="3312160" cy="2343785"/>
                <wp:effectExtent l="0" t="0" r="0" b="0"/>
                <wp:wrapNone/>
                <wp:docPr id="1046" name="文本框 12"/>
                <wp:cNvGraphicFramePr/>
                <a:graphic xmlns:a="http://schemas.openxmlformats.org/drawingml/2006/main">
                  <a:graphicData uri="http://schemas.microsoft.com/office/word/2010/wordprocessingShape">
                    <wps:wsp>
                      <wps:cNvSpPr txBox="1"/>
                      <wps:spPr>
                        <a:xfrm>
                          <a:off x="4112260" y="4525010"/>
                          <a:ext cx="3312160" cy="23437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0"/>
                              <w:gridCol w:w="790"/>
                              <w:gridCol w:w="790"/>
                              <w:gridCol w:w="792"/>
                              <w:gridCol w:w="792"/>
                              <w:gridCol w:w="778"/>
                              <w:gridCol w:w="10"/>
                              <w:gridCol w:w="11"/>
                              <w:gridCol w:w="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8" w:type="pct"/>
                                <w:trHeight w:val="340" w:hRule="atLeast"/>
                                <w:jc w:val="center"/>
                              </w:trPr>
                              <w:tc>
                                <w:tcPr>
                                  <w:tcW w:w="4971" w:type="pct"/>
                                  <w:gridSpan w:val="6"/>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融合基因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NTRK2</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RET</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ROS1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 w:type="pct"/>
                                <w:trHeight w:val="340" w:hRule="atLeast"/>
                                <w:jc w:val="center"/>
                              </w:trPr>
                              <w:tc>
                                <w:tcPr>
                                  <w:tcW w:w="4982" w:type="pct"/>
                                  <w:gridSpan w:val="7"/>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拷贝数变异基因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2</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CDK4</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CDKN2A</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CSF1R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EGFR</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ERBB2</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FGFR1</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FGFR2</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FGFR3</w:t>
                                  </w:r>
                                </w:p>
                              </w:tc>
                              <w:tc>
                                <w:tcPr>
                                  <w:tcW w:w="842" w:type="pct"/>
                                  <w:gridSpan w:val="4"/>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w:t>
                                  </w:r>
                                  <w:r>
                                    <w:rPr>
                                      <w:rFonts w:hint="eastAsia" w:hAnsi="等线" w:cs="等线"/>
                                      <w:i w:val="0"/>
                                      <w:iCs w:val="0"/>
                                      <w:color w:val="000000"/>
                                      <w:kern w:val="0"/>
                                      <w:sz w:val="15"/>
                                      <w:szCs w:val="15"/>
                                      <w:u w:val="none"/>
                                      <w:lang w:val="en-US" w:eastAsia="zh-CN" w:bidi="ar"/>
                                    </w:rPr>
                                    <w:t>ET</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PTEN</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RB1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pct"/>
                                <w:trHeight w:val="340" w:hRule="atLeast"/>
                                <w:jc w:val="center"/>
                              </w:trPr>
                              <w:tc>
                                <w:tcPr>
                                  <w:tcW w:w="4993" w:type="pct"/>
                                  <w:gridSpan w:val="8"/>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其他肿瘤相关基因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ARID1A</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CTNNB1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FBXW7</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POLD1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POLE</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7.7pt;margin-top:0.6pt;height:184.55pt;width:260.8pt;z-index:251705344;mso-width-relative:page;mso-height-relative:page;" filled="f" stroked="f" coordsize="21600,21600" o:gfxdata="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cigAw2gAAAAkBAAAPAAAAAAAAAAEA&#10;IAAAACIAAABkcnMvZG93bnJldi54bWxQSwECFAAUAAAACACHTuJA2uDHXEYCAAB1BAAADgAAAAAA&#10;AAABACAAAAApAQAAZHJzL2Uyb0RvYy54bWxQSwUGAAAAAAYABgBZAQAA4QUAAAAA&#10;">
                <v:fill on="f" focussize="0,0"/>
                <v:stroke on="f" weight="0.5pt"/>
                <v:imagedata o:title=""/>
                <o:lock v:ext="edit" aspectratio="f"/>
                <v:textbo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0"/>
                        <w:gridCol w:w="790"/>
                        <w:gridCol w:w="790"/>
                        <w:gridCol w:w="792"/>
                        <w:gridCol w:w="792"/>
                        <w:gridCol w:w="778"/>
                        <w:gridCol w:w="10"/>
                        <w:gridCol w:w="11"/>
                        <w:gridCol w:w="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8" w:type="pct"/>
                          <w:trHeight w:val="340" w:hRule="atLeast"/>
                          <w:jc w:val="center"/>
                        </w:trPr>
                        <w:tc>
                          <w:tcPr>
                            <w:tcW w:w="4971" w:type="pct"/>
                            <w:gridSpan w:val="6"/>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融合基因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NTRK2</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RET</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ROS1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 w:type="pct"/>
                          <w:trHeight w:val="340" w:hRule="atLeast"/>
                          <w:jc w:val="center"/>
                        </w:trPr>
                        <w:tc>
                          <w:tcPr>
                            <w:tcW w:w="4982" w:type="pct"/>
                            <w:gridSpan w:val="7"/>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拷贝数变异基因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2</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CDK4</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CDKN2A</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CSF1R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EGFR</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ERBB2</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FGFR1</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FGFR2</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FGFR3</w:t>
                            </w:r>
                          </w:p>
                        </w:tc>
                        <w:tc>
                          <w:tcPr>
                            <w:tcW w:w="842" w:type="pct"/>
                            <w:gridSpan w:val="4"/>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w:t>
                            </w:r>
                            <w:r>
                              <w:rPr>
                                <w:rFonts w:hint="eastAsia" w:hAnsi="等线" w:cs="等线"/>
                                <w:i w:val="0"/>
                                <w:iCs w:val="0"/>
                                <w:color w:val="000000"/>
                                <w:kern w:val="0"/>
                                <w:sz w:val="15"/>
                                <w:szCs w:val="15"/>
                                <w:u w:val="none"/>
                                <w:lang w:val="en-US" w:eastAsia="zh-CN" w:bidi="ar"/>
                              </w:rPr>
                              <w:t>ET</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PTEN</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RB1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pct"/>
                          <w:trHeight w:val="340" w:hRule="atLeast"/>
                          <w:jc w:val="center"/>
                        </w:trPr>
                        <w:tc>
                          <w:tcPr>
                            <w:tcW w:w="4993" w:type="pct"/>
                            <w:gridSpan w:val="8"/>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其他肿瘤相关基因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ARID1A</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CTNNB1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FBXW7</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POLD1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POLE</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r>
        <w:rPr>
          <w:sz w:val="21"/>
        </w:rPr>
        <mc:AlternateContent>
          <mc:Choice Requires="wps">
            <w:drawing>
              <wp:anchor distT="0" distB="0" distL="114300" distR="114300" simplePos="0" relativeHeight="251703296" behindDoc="0" locked="0" layoutInCell="1" allowOverlap="1">
                <wp:simplePos x="0" y="0"/>
                <wp:positionH relativeFrom="column">
                  <wp:posOffset>-208280</wp:posOffset>
                </wp:positionH>
                <wp:positionV relativeFrom="paragraph">
                  <wp:posOffset>39370</wp:posOffset>
                </wp:positionV>
                <wp:extent cx="3312160" cy="1451610"/>
                <wp:effectExtent l="0" t="0" r="0" b="0"/>
                <wp:wrapNone/>
                <wp:docPr id="1047" name="文本框 9"/>
                <wp:cNvGraphicFramePr/>
                <a:graphic xmlns:a="http://schemas.openxmlformats.org/drawingml/2006/main">
                  <a:graphicData uri="http://schemas.microsoft.com/office/word/2010/wordprocessingShape">
                    <wps:wsp>
                      <wps:cNvSpPr txBox="1"/>
                      <wps:spPr>
                        <a:xfrm>
                          <a:off x="4185920" y="2305050"/>
                          <a:ext cx="3312160" cy="1451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6"/>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998" w:type="pct"/>
                                  <w:gridSpan w:val="6"/>
                                  <w:tcBorders>
                                    <w:tl2br w:val="nil"/>
                                    <w:tr2bl w:val="nil"/>
                                  </w:tcBorders>
                                  <w:shd w:val="clear" w:color="auto" w:fill="F18E2D"/>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ascii="等线" w:hAnsi="等线" w:eastAsia="等线" w:cs="Arial"/>
                                      <w:b/>
                                      <w:bCs/>
                                      <w:color w:val="F9FBFA"/>
                                      <w:szCs w:val="21"/>
                                    </w:rPr>
                                    <w:t>化疗用药相关基因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ABCB1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CASP7</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CDA</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CYP2C8</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CYP3A4</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DPYD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DYNC2H1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ERCC1</w:t>
                                  </w: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ERCC2</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GSTP1</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HAS3</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MTHFR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NQO1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SOD2</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TPMT</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TYMS</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UGT1A1</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XPC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XRCC1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4pt;margin-top:3.1pt;height:114.3pt;width:260.8pt;z-index:251703296;mso-width-relative:page;mso-height-relative:page;" filled="f" stroked="f" coordsize="21600,21600" o:gfxdata="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NMEQh9oAAAAJAQAADwAAAAAAAAAB&#10;ACAAAAAiAAAAZHJzL2Rvd25yZXYueG1sUEsBAhQAFAAAAAgAh07iQMBUUeNHAgAAcwQAAA4AAAAA&#10;AAAAAQAgAAAAKQEAAGRycy9lMm9Eb2MueG1sUEsFBgAAAAAGAAYAWQEAAOIFAAAAAA==&#10;">
                <v:fill on="f" focussize="0,0"/>
                <v:stroke on="f" weight="0.5pt"/>
                <v:imagedata o:title=""/>
                <o:lock v:ext="edit" aspectratio="f"/>
                <v:textbox>
                  <w:txbxContent>
                    <w:tbl>
                      <w:tblPr>
                        <w:tblStyle w:val="58"/>
                        <w:tblW w:w="463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6"/>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998" w:type="pct"/>
                            <w:gridSpan w:val="6"/>
                            <w:tcBorders>
                              <w:tl2br w:val="nil"/>
                              <w:tr2bl w:val="nil"/>
                            </w:tcBorders>
                            <w:shd w:val="clear" w:color="auto" w:fill="F18E2D"/>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ascii="等线" w:hAnsi="等线" w:eastAsia="等线" w:cs="Arial"/>
                                <w:b/>
                                <w:bCs/>
                                <w:color w:val="F9FBFA"/>
                                <w:szCs w:val="21"/>
                              </w:rPr>
                              <w:t>化疗用药相关基因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ABCB1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CASP7</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CDA</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CYP2C8</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CYP3A4</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DPYD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DYNC2H1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ERCC1</w:t>
                            </w: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ERCC2</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GSTP1</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HAS3</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MTHFR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NQO1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SOD2</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TPMT</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TYMS</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UGT1A1</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XPC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XRCC1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pPr>
        <w:rPr>
          <w:rFonts w:hint="eastAsia"/>
        </w:rPr>
      </w:pPr>
      <w:bookmarkStart w:id="91" w:name="基因简介"/>
      <w:bookmarkEnd w:id="91"/>
      <w:bookmarkStart w:id="92" w:name="_Toc89103166"/>
      <w:bookmarkStart w:id="93" w:name="_Ref80948870"/>
      <w:bookmarkStart w:id="94" w:name="_Ref80371523"/>
      <w:bookmarkStart w:id="95" w:name="_Toc81378424"/>
      <w:bookmarkStart w:id="96" w:name="_Ref80371515"/>
      <w:bookmarkStart w:id="97" w:name="_Toc81378425"/>
    </w:p>
    <w:p>
      <w:pPr>
        <w:rPr>
          <w:rFonts w:hint="eastAsia"/>
        </w:rPr>
      </w:pPr>
    </w:p>
    <w:p>
      <w:pPr>
        <w:rPr>
          <w:rFonts w:hint="eastAsia"/>
        </w:rPr>
      </w:pPr>
    </w:p>
    <w:p>
      <w:pPr>
        <w:spacing w:before="340" w:line="360" w:lineRule="auto"/>
        <w:ind w:firstLine="600" w:firstLineChars="200"/>
        <w:jc w:val="left"/>
        <w:outlineLvl w:val="1"/>
        <w:rPr>
          <w:rFonts w:hAnsi="等线" w:cs="Arial"/>
          <w:b/>
          <w:bCs/>
          <w:color w:val="00B0F0"/>
          <w:sz w:val="30"/>
          <w:szCs w:val="30"/>
        </w:rPr>
      </w:pPr>
      <w:r>
        <w:rPr>
          <w:rFonts w:hAnsi="等线" w:cs="Arial"/>
          <w:b/>
          <w:bCs/>
          <w:color w:val="00B0F0"/>
          <w:sz w:val="30"/>
          <w:szCs w:val="30"/>
        </w:rPr>
        <w:drawing>
          <wp:anchor distT="0" distB="0" distL="114300" distR="114300" simplePos="0" relativeHeight="251679744" behindDoc="0" locked="0" layoutInCell="1" allowOverlap="1">
            <wp:simplePos x="0" y="0"/>
            <wp:positionH relativeFrom="column">
              <wp:posOffset>-9525</wp:posOffset>
            </wp:positionH>
            <wp:positionV relativeFrom="paragraph">
              <wp:posOffset>250190</wp:posOffset>
            </wp:positionV>
            <wp:extent cx="295275" cy="297180"/>
            <wp:effectExtent l="0" t="0" r="9525" b="7620"/>
            <wp:wrapNone/>
            <wp:docPr id="1048" name="图片 69"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rPr>
        <w:t>重要基因简介</w:t>
      </w:r>
      <w:bookmarkEnd w:id="92"/>
    </w:p>
    <w:bookmarkEnd w:id="93"/>
    <w:bookmarkEnd w:id="94"/>
    <w:bookmarkEnd w:id="95"/>
    <w:bookmarkEnd w:id="96"/>
    <w:bookmarkEnd w:id="97"/>
    <w:tbl>
      <w:tblPr>
        <w:tblStyle w:val="59"/>
        <w:tblW w:w="5000" w:type="pct"/>
        <w:jc w:val="cente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Layout w:type="autofit"/>
        <w:tblCellMar>
          <w:top w:w="0" w:type="dxa"/>
          <w:left w:w="108" w:type="dxa"/>
          <w:bottom w:w="0" w:type="dxa"/>
          <w:right w:w="108" w:type="dxa"/>
        </w:tblCellMar>
      </w:tblPr>
      <w:tblGrid>
        <w:gridCol w:w="1611"/>
        <w:gridCol w:w="8244"/>
      </w:tblGrid>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595" w:hRule="atLeast"/>
          <w:tblHeader/>
          <w:jc w:val="center"/>
        </w:trPr>
        <w:tc>
          <w:tcPr>
            <w:tcW w:w="817" w:type="pct"/>
            <w:tcBorders>
              <w:bottom w:val="nil"/>
              <w:right w:val="nil"/>
            </w:tcBorders>
            <w:shd w:val="clear" w:color="auto" w:fill="4472C4"/>
            <w:vAlign w:val="center"/>
          </w:tcPr>
          <w:p>
            <w:pPr>
              <w:jc w:val="center"/>
              <w:rPr>
                <w:rFonts w:hAnsi="等线"/>
                <w:b/>
                <w:bCs/>
                <w:color w:val="FFFFFF"/>
                <w:sz w:val="24"/>
                <w:szCs w:val="24"/>
              </w:rPr>
            </w:pPr>
            <w:r>
              <w:rPr>
                <w:rFonts w:hint="eastAsia" w:hAnsi="等线"/>
                <w:b/>
                <w:bCs/>
                <w:color w:val="FFFFFF"/>
                <w:sz w:val="24"/>
                <w:szCs w:val="24"/>
              </w:rPr>
              <w:t>基因</w:t>
            </w:r>
          </w:p>
        </w:tc>
        <w:tc>
          <w:tcPr>
            <w:tcW w:w="4182" w:type="pct"/>
            <w:shd w:val="clear" w:color="auto" w:fill="4472C4"/>
            <w:vAlign w:val="center"/>
          </w:tcPr>
          <w:p>
            <w:pPr>
              <w:jc w:val="center"/>
              <w:rPr>
                <w:rFonts w:hAnsi="等线"/>
                <w:b/>
                <w:bCs/>
                <w:color w:val="FFFFFF"/>
                <w:sz w:val="24"/>
                <w:szCs w:val="24"/>
              </w:rPr>
            </w:pPr>
            <w:r>
              <w:rPr>
                <w:rFonts w:hint="eastAsia" w:hAnsi="等线"/>
                <w:b/>
                <w:bCs/>
                <w:color w:val="FFFFFF"/>
                <w:sz w:val="24"/>
                <w:szCs w:val="24"/>
              </w:rPr>
              <w:t>基因功能</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ALK</w:t>
            </w:r>
          </w:p>
        </w:tc>
        <w:tc>
          <w:tcPr>
            <w:tcW w:w="4182" w:type="pct"/>
            <w:vAlign w:val="center"/>
          </w:tcPr>
          <w:p>
            <w:pPr>
              <w:rPr>
                <w:rFonts w:hAnsi="等线"/>
                <w:color w:val="000000"/>
                <w:sz w:val="18"/>
                <w:szCs w:val="18"/>
              </w:rPr>
            </w:pPr>
            <w:r>
              <w:rPr>
                <w:rFonts w:hAnsi="等线"/>
                <w:color w:val="000000"/>
                <w:sz w:val="18"/>
                <w:szCs w:val="18"/>
              </w:rPr>
              <w:t>ALK（人类间变性淋巴瘤激酶）是一种受体酪氨酸激酶，属于胰岛素受体家族。野生型ALK在神经系统的发育中起功能性作用，参与对细胞外刺激因子的</w:t>
            </w:r>
            <w:r>
              <w:rPr>
                <w:rFonts w:hint="eastAsia" w:hAnsi="等线"/>
                <w:color w:val="000000"/>
                <w:sz w:val="18"/>
                <w:szCs w:val="18"/>
              </w:rPr>
              <w:t>响</w:t>
            </w:r>
            <w:r>
              <w:rPr>
                <w:rFonts w:hAnsi="等线"/>
                <w:color w:val="000000"/>
                <w:sz w:val="18"/>
                <w:szCs w:val="18"/>
              </w:rPr>
              <w:t>应，控制细胞增殖、存活和分化。属于分泌型生长因子的多效生长因子（PTN）和中期因子（MK）被认为是ALK的生理性配体（PMID: 11278720; PMID: 12122009），然而，对于PTN和MK是否是真正的配体尚存在争议（PMID: 15886198）。ALK一旦被激活就会通过PI3K/AKT，MAPK/ERK和STAT3途径传递信号（PMID: 19459784）</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ATM</w:t>
            </w:r>
          </w:p>
        </w:tc>
        <w:tc>
          <w:tcPr>
            <w:tcW w:w="4182" w:type="pct"/>
            <w:vAlign w:val="center"/>
          </w:tcPr>
          <w:p>
            <w:pPr>
              <w:rPr>
                <w:rFonts w:hAnsi="等线"/>
                <w:color w:val="000000"/>
                <w:sz w:val="18"/>
                <w:szCs w:val="18"/>
              </w:rPr>
            </w:pPr>
            <w:r>
              <w:rPr>
                <w:rFonts w:hint="eastAsia" w:hAnsi="等线"/>
                <w:color w:val="000000"/>
                <w:sz w:val="18"/>
                <w:szCs w:val="18"/>
              </w:rPr>
              <w:t>ATM是一种丝氨酸-苏氨酸蛋白激酶，属于丝氨酸-苏氨酸激酶家族的成员，通过激活独特的DNA修复和信号传导途径来协调细胞对DNA损伤的反应（PMID: 22079189）。ATM胚系突变与共济失调毛细血管扩张症（ataxia telangiectasia，简称A-T症）有关（PMID: 27283171），A-T症患者也容易罹患多种癌症，特别是儿童淋巴瘤、白血病和乳腺癌（PMID: 21792198）。ATM体细胞突变常见于子宫内膜癌、结肠癌、胰腺癌和乳腺癌（PMID: 27283171，PMID: 27413114）和尿路上皮癌（PMID: 29682192）。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BARD1</w:t>
            </w:r>
          </w:p>
        </w:tc>
        <w:tc>
          <w:tcPr>
            <w:tcW w:w="4182" w:type="pct"/>
            <w:vAlign w:val="center"/>
          </w:tcPr>
          <w:p>
            <w:pPr>
              <w:rPr>
                <w:rFonts w:hAnsi="等线"/>
                <w:color w:val="000000"/>
                <w:sz w:val="18"/>
                <w:szCs w:val="18"/>
              </w:rPr>
            </w:pPr>
            <w:r>
              <w:rPr>
                <w:rFonts w:hint="eastAsia" w:hAnsi="等线"/>
                <w:color w:val="000000"/>
                <w:sz w:val="18"/>
                <w:szCs w:val="18"/>
              </w:rPr>
              <w:t>BARD1是一种接头蛋白，当与BRCA1结合时具有E3连接酶活性（PMID: 11573085）。BRCA1是一个特征明确的肿瘤抑制因子，其功能是通过同源重组和细胞周期检查点激活来修复DNA双链断裂，从而维持基因组完整性（PMID: 11278247）。BARD1-BRCA1复合物涉及多种细胞进程，包括DNA修复、基因表达、复制叉稳定性维持以及染色质调节的各个阶段（PMID: 27239795）。BARD1与BRCA1相互作用，结合至新复制DNA上的损伤部位，并对组蛋白H2A的赖氨酸残基进行单泛素化修饰（PMID: 30804502）。然后，BARD1-BRCA1复合体介导DNA损伤部位的切除，将拮抗性修复蛋白53BP1驱逐出去，并募集一些DNA损伤反应蛋白（包括RAD51）到受损部位（PMID: 27239795）。聚（ADP-核糖）介导了早期BRCA1-BARD1复合物募集到受损DNA位点的过程（PMID: 25634209）。乳腺癌小鼠模型中BARD1的失活导致了与BRCA1缺失相似的表型，说明BRAD1和BRCA1可能有相似的基因功能（PMID: 18443292）。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BRAF</w:t>
            </w:r>
          </w:p>
        </w:tc>
        <w:tc>
          <w:tcPr>
            <w:tcW w:w="4182" w:type="pct"/>
            <w:vAlign w:val="center"/>
          </w:tcPr>
          <w:p>
            <w:pPr>
              <w:rPr>
                <w:rFonts w:hAnsi="等线"/>
                <w:color w:val="000000"/>
                <w:sz w:val="18"/>
                <w:szCs w:val="18"/>
              </w:rPr>
            </w:pPr>
            <w:r>
              <w:rPr>
                <w:rFonts w:hAnsi="等线"/>
                <w:color w:val="000000"/>
                <w:sz w:val="18"/>
                <w:szCs w:val="18"/>
              </w:rPr>
              <w:t>BRAF是MAP激酶级联信号通路中一种重要的丝氨酸/苏氨酸蛋白激酶。当生长因子与受体结合时，受体的酪氨酸激酶结构域激活并通过RAS激酶向下游发出信号。RAF蛋白是活化RAS蛋白的直接效应因子（PMID: 8503013; PMID: 8327501）。RAF二聚体（BRAF，ARAF，CRAF）通过磷酸化和激活MEK进一步传递该级联信号（PMID: 24957944）。激活的MEK-ERK信号可以促进细胞增殖、存活、迁移和分化。BRAF的存在对正常发育至关重要</w:t>
            </w:r>
            <w:r>
              <w:rPr>
                <w:rFonts w:hint="eastAsia" w:hAnsi="等线"/>
                <w:color w:val="000000"/>
                <w:sz w:val="18"/>
                <w:szCs w:val="18"/>
              </w:rPr>
              <w:t>；</w:t>
            </w:r>
            <w:r>
              <w:rPr>
                <w:rFonts w:hAnsi="等线"/>
                <w:color w:val="000000"/>
                <w:sz w:val="18"/>
                <w:szCs w:val="18"/>
              </w:rPr>
              <w:t>然而，不受抑制的BRAF信号可以促进肿瘤发生</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BRCA1</w:t>
            </w:r>
          </w:p>
        </w:tc>
        <w:tc>
          <w:tcPr>
            <w:tcW w:w="4182" w:type="pct"/>
            <w:vAlign w:val="center"/>
          </w:tcPr>
          <w:p>
            <w:pPr>
              <w:rPr>
                <w:rFonts w:hAnsi="等线"/>
                <w:color w:val="000000"/>
                <w:sz w:val="18"/>
                <w:szCs w:val="18"/>
              </w:rPr>
            </w:pPr>
            <w:r>
              <w:rPr>
                <w:rFonts w:hint="eastAsia" w:hAnsi="等线"/>
                <w:color w:val="000000"/>
                <w:sz w:val="18"/>
                <w:szCs w:val="18"/>
              </w:rPr>
              <w:t>BRCA1（乳腺癌易感基因1）是一种抑癌基因，基因表达产物具有E3泛素连接酶的多功能活性。BRCA1参与调控多种细胞进程，包括转录、蛋白质泛素化、细胞周期调控和DNA损伤反应，在同源重组过程中对DNA修复具有特别重要的作用（PMID: 22193408）。BRCA1可以与已知的肿瘤抑制因子（包括RAD51，BRCA2，BARD1和PALB2）形成蛋白质复合物；具体来说，BRCA1和BARD1促进DNA末端切除并增强重组酶RAD51的活性（PMID: 28976962）。BRCA1是第一个被鉴定和克隆的乳腺癌和卵巢癌易感基因；该基因的遗传突变导致罹患这些癌症的终生风险增加。在携带BRCA1始祖突变的德系犹太人患者中，BRCA1突变可致罹患乳腺癌的终生风险为70-80%，患卵巢癌终生风险为50%，且患前列腺癌的风险增加（PMID: 22193408）。遗传性乳腺癌和卵巢癌（HBOC）综合征，该病通过常染色体显性遗传（PMID: 22193408）。BRCA1最近还被确认为FANCS亚型范可尼贫血的易感基因，该病是一种罕见的范可尼贫血亚型，由BRCA1基因的双等位基因突变所致（PMID: 25472942）。BRCA1突变可能会破坏促进DNA修复的蛋白间相互作用（PMID: 10918303）。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BRCA2</w:t>
            </w:r>
          </w:p>
        </w:tc>
        <w:tc>
          <w:tcPr>
            <w:tcW w:w="4182" w:type="pct"/>
            <w:vAlign w:val="center"/>
          </w:tcPr>
          <w:p>
            <w:pPr>
              <w:rPr>
                <w:rFonts w:hAnsi="等线"/>
                <w:color w:val="000000"/>
                <w:sz w:val="18"/>
                <w:szCs w:val="18"/>
              </w:rPr>
            </w:pPr>
            <w:r>
              <w:rPr>
                <w:rFonts w:hint="eastAsia" w:hAnsi="等线"/>
                <w:color w:val="000000"/>
                <w:sz w:val="18"/>
                <w:szCs w:val="18"/>
              </w:rPr>
              <w:t>BRCA2（乳腺癌易感基因2）是一种抑癌基因，表达产物起着DNA修复蛋白的作用。BRCA2参与调控多种细胞进程，包括转录、细胞周期调控和DNA损伤反应，BRCA2对同源重组过程中的DNA修复具有特别重要的作用（PMID: 22193408）。BRCA2可以与已知的肿瘤抑制因子（包括RAD51，BRCA1和PALB2）形成蛋白质复合物：具体来说，BRCA2和单链DNA结合并将RAD51单体招募至DNA双链断裂位点（PMID: 28976962）。RAD51需要BRCA1-BRCA2-PALB2复合物才能启动同源重组过程（PMID: 11239455）。BRCA2是一种肿瘤抑制蛋白，如果BRCA2基因的一个拷贝在胚系失活，会导致遗传性乳腺癌和卵巢癌（HBOC）综合征，该病通过常染色体显性遗传（PMID: 15800615）。BRCA2还被确认为范可尼贫血的易感基因，该基因的双等位基因突变会导致范可尼贫血的发生（PMID: 12065746）。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BRIP1</w:t>
            </w:r>
          </w:p>
        </w:tc>
        <w:tc>
          <w:tcPr>
            <w:tcW w:w="4182" w:type="pct"/>
            <w:vAlign w:val="center"/>
          </w:tcPr>
          <w:p>
            <w:pPr>
              <w:rPr>
                <w:rFonts w:hAnsi="等线"/>
                <w:color w:val="000000"/>
                <w:sz w:val="18"/>
                <w:szCs w:val="18"/>
              </w:rPr>
            </w:pPr>
            <w:r>
              <w:rPr>
                <w:rFonts w:hint="eastAsia" w:hAnsi="等线"/>
                <w:color w:val="000000"/>
                <w:sz w:val="18"/>
                <w:szCs w:val="18"/>
              </w:rPr>
              <w:t>BRIP1（BACH1和FANCJ）是RecQ</w:t>
            </w:r>
            <w:r>
              <w:rPr>
                <w:rFonts w:hAnsi="等线"/>
                <w:color w:val="000000"/>
                <w:sz w:val="18"/>
                <w:szCs w:val="18"/>
              </w:rPr>
              <w:t xml:space="preserve"> </w:t>
            </w:r>
            <w:r>
              <w:rPr>
                <w:rFonts w:hint="eastAsia" w:hAnsi="等线"/>
                <w:color w:val="000000"/>
                <w:sz w:val="18"/>
                <w:szCs w:val="18"/>
              </w:rPr>
              <w:t>DEAH解旋酶家族的成员。DEAH解旋酶参与前体mRNA的剪接以及核糖体的合成（PMID: 20168331）。BRIP1与BRCA1相互作用，结合生成的复合物在正常的BRCA1双链断裂修复功能发挥重要作用（PMID: 17033622）。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CDK4</w:t>
            </w:r>
          </w:p>
        </w:tc>
        <w:tc>
          <w:tcPr>
            <w:tcW w:w="4182" w:type="pct"/>
            <w:vAlign w:val="center"/>
          </w:tcPr>
          <w:p>
            <w:pPr>
              <w:rPr>
                <w:rFonts w:hAnsi="等线"/>
                <w:color w:val="000000"/>
                <w:sz w:val="18"/>
                <w:szCs w:val="18"/>
              </w:rPr>
            </w:pPr>
            <w:r>
              <w:rPr>
                <w:rFonts w:hint="eastAsia" w:hAnsi="等线"/>
                <w:color w:val="000000"/>
                <w:sz w:val="18"/>
                <w:szCs w:val="18"/>
              </w:rPr>
              <w:t>细胞周期蛋白依赖性激酶4（CDK4）是由CDK4基因编码的丝氨酸/苏氨酸激酶，在所有细胞类型中广泛表达。该激酶对于细胞周期G1至S期的过渡很重要。有丝分裂原可刺激细胞合成细胞周期蛋白D，细胞周期蛋白D激活CDK4，并和CDK4/6形成复合物(</w:t>
            </w:r>
            <w:r>
              <w:rPr>
                <w:rFonts w:hAnsi="等线"/>
                <w:color w:val="000000"/>
                <w:sz w:val="18"/>
                <w:szCs w:val="18"/>
              </w:rPr>
              <w:t>PMID: 16603719</w:t>
            </w:r>
            <w:r>
              <w:rPr>
                <w:rFonts w:hint="eastAsia" w:hAnsi="等线"/>
                <w:color w:val="000000"/>
                <w:sz w:val="18"/>
                <w:szCs w:val="18"/>
              </w:rPr>
              <w:t xml:space="preserve">; </w:t>
            </w:r>
            <w:r>
              <w:rPr>
                <w:rFonts w:hAnsi="等线"/>
                <w:color w:val="000000"/>
                <w:sz w:val="18"/>
                <w:szCs w:val="18"/>
              </w:rPr>
              <w:t>PMID: 7954824</w:t>
            </w:r>
            <w:r>
              <w:rPr>
                <w:rFonts w:hint="eastAsia" w:hAnsi="等线"/>
                <w:color w:val="000000"/>
                <w:sz w:val="18"/>
                <w:szCs w:val="18"/>
              </w:rPr>
              <w:t xml:space="preserve">; </w:t>
            </w:r>
            <w:r>
              <w:rPr>
                <w:rFonts w:hAnsi="等线"/>
                <w:color w:val="000000"/>
                <w:sz w:val="18"/>
                <w:szCs w:val="18"/>
              </w:rPr>
              <w:t>PMID: 1423597</w:t>
            </w:r>
            <w:r>
              <w:rPr>
                <w:rFonts w:hint="eastAsia" w:hAnsi="等线"/>
                <w:color w:val="000000"/>
                <w:sz w:val="18"/>
                <w:szCs w:val="18"/>
              </w:rPr>
              <w:t>)。CDK4/6二聚体的激活使视网膜母细胞瘤肿瘤抑制蛋白（Rb）磷酸化并失活，进而导致E2F转录因子家族的转录激活。这些因素诱导细胞分裂介质的表达，导致细胞持续分裂，促进肿瘤生长。CDK4/6通过与p16INK4a相互作用（由细胞周期蛋白依赖性激酶抑制剂2A基因，即CDKN2A编码）而受到负调控并失活。</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CDK12</w:t>
            </w:r>
          </w:p>
        </w:tc>
        <w:tc>
          <w:tcPr>
            <w:tcW w:w="4182" w:type="pct"/>
            <w:vAlign w:val="center"/>
          </w:tcPr>
          <w:p>
            <w:pPr>
              <w:rPr>
                <w:rFonts w:hAnsi="等线"/>
                <w:color w:val="000000"/>
                <w:sz w:val="18"/>
                <w:szCs w:val="18"/>
              </w:rPr>
            </w:pPr>
            <w:r>
              <w:rPr>
                <w:rFonts w:hint="eastAsia" w:hAnsi="等线"/>
                <w:color w:val="000000"/>
                <w:sz w:val="18"/>
                <w:szCs w:val="18"/>
              </w:rPr>
              <w:t>CDK12（周期蛋白依赖性激酶12）是一种参与调节细胞周期和许多DNA损伤修复基因转录延伸过程的激酶（PMID: 22012619）。转移性前列腺癌和浆液性卵巢癌中已观察到CDK12的复发性失活突变（PMID: 28843286, PMID: 26787835）。体外实验中CDK12与RNA聚合酶II（RNAP）的C末端结构域（CTD）相互作用并使其磷酸化（PMID: 11683387）并与Cyclin K形成复合物，该复合物可通过调控DNA损伤修复基因（如BRCA1，ATR，FANCI和FANCD2）的表达来维持基因组稳定性。CDK12/cyclin K复合物的缺失会使HEK293细胞对各种DNA损伤剂（包括喜树碱，依托泊苷和丝裂霉素C）敏感（PMID: 24662513）。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CHEK1</w:t>
            </w:r>
          </w:p>
        </w:tc>
        <w:tc>
          <w:tcPr>
            <w:tcW w:w="4182" w:type="pct"/>
            <w:vAlign w:val="center"/>
          </w:tcPr>
          <w:p>
            <w:pPr>
              <w:rPr>
                <w:rFonts w:hAnsi="等线"/>
                <w:color w:val="000000"/>
                <w:sz w:val="18"/>
                <w:szCs w:val="18"/>
              </w:rPr>
            </w:pPr>
            <w:r>
              <w:rPr>
                <w:rFonts w:hint="eastAsia" w:hAnsi="等线"/>
                <w:color w:val="000000"/>
                <w:sz w:val="18"/>
                <w:szCs w:val="18"/>
              </w:rPr>
              <w:t>CHEK1（检查点激酶1）是一种丝氨酸/苏氨酸激酶，在DNA损伤修复途径中起着不可或缺的作用，可阻滞受损细胞的细胞周期。CHEK1被ATR和ATM激酶磷酸化激活启动DNA损伤应答（PMID: 12781359）。CHEK1被激活后会充当效应激酶，介导下游信号传导，从而导致多种细胞应答，包括细胞周期检查点激活，细胞周期停滞，DNA修复和/或凋亡以及复制叉的稳定（PMID: 23508805）。特别是，活化的CHEK1将细胞周期蛋白B1-CDK1复合物维持在无活性的细胞质状态，从而阻止G2向M期的过渡以及有丝分裂过程中受损伤的染色单体的分离（PMID: 21532626）。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CHEK2</w:t>
            </w:r>
          </w:p>
        </w:tc>
        <w:tc>
          <w:tcPr>
            <w:tcW w:w="4182" w:type="pct"/>
            <w:vAlign w:val="center"/>
          </w:tcPr>
          <w:p>
            <w:pPr>
              <w:rPr>
                <w:rFonts w:hAnsi="等线"/>
                <w:color w:val="000000"/>
                <w:sz w:val="18"/>
                <w:szCs w:val="18"/>
              </w:rPr>
            </w:pPr>
            <w:r>
              <w:rPr>
                <w:rFonts w:hint="eastAsia" w:hAnsi="等线"/>
                <w:color w:val="000000"/>
                <w:sz w:val="18"/>
                <w:szCs w:val="18"/>
              </w:rPr>
              <w:t>CHEK2（检查点激酶2）是一种丝氨酸/苏氨酸激酶，在DNA损伤修复途径中起着不可或缺的作用，可阻滞受损细胞的细胞周期。CHEK2被ATR和ATM激酶磷酸化激活启动DNA损伤应答（PMID: 12781359）。CHEK2被激活后会充当效应激酶，介导下游信号传导，从而导致多种细胞应答，包括细胞周期检查点激活，细胞周期停滞，DNA修复和/或凋亡（PMID: 25404613）。CHEK2也在有丝分裂过程中通过维持染色体稳定性发挥重要作用（PMID: 20364141）。</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CSF1R</w:t>
            </w:r>
          </w:p>
        </w:tc>
        <w:tc>
          <w:tcPr>
            <w:tcW w:w="4182" w:type="pct"/>
            <w:vAlign w:val="center"/>
          </w:tcPr>
          <w:p>
            <w:pPr>
              <w:rPr>
                <w:rFonts w:hAnsi="等线"/>
                <w:color w:val="000000"/>
                <w:sz w:val="18"/>
                <w:szCs w:val="18"/>
              </w:rPr>
            </w:pPr>
            <w:r>
              <w:rPr>
                <w:rFonts w:hint="eastAsia" w:hAnsi="等线"/>
                <w:color w:val="000000"/>
                <w:sz w:val="18"/>
                <w:szCs w:val="18"/>
              </w:rPr>
              <w:t>CSF1R是一种膜蛋白，可作为集落刺激因子1（CSF1）的受体，集落刺激因子1调控巨噬细胞的产生、分化和功能。CSF1R介导的信号传导是先天免疫的重要调控者。CSF1R和配体CSF1的共表达可导致肿瘤细胞的致癌活性，而与CSF1R的过度表达或扩增无关，这表明CSF1R是一种致癌基因（PMID：22096574）。然而，CSF1R的功能丧失性突变和剪接体变异也与骨髓恶性肿瘤的易感性相关（PMID：18971950）。</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EGFR</w:t>
            </w:r>
          </w:p>
        </w:tc>
        <w:tc>
          <w:tcPr>
            <w:tcW w:w="4182" w:type="pct"/>
            <w:vAlign w:val="center"/>
          </w:tcPr>
          <w:p>
            <w:pPr>
              <w:rPr>
                <w:rFonts w:hAnsi="等线"/>
                <w:color w:val="000000"/>
                <w:sz w:val="18"/>
                <w:szCs w:val="18"/>
              </w:rPr>
            </w:pPr>
            <w:r>
              <w:rPr>
                <w:rFonts w:hint="eastAsia" w:hAnsi="等线"/>
                <w:color w:val="000000"/>
                <w:sz w:val="18"/>
                <w:szCs w:val="18"/>
              </w:rPr>
              <w:t>表皮生长因子受体（</w:t>
            </w:r>
            <w:r>
              <w:rPr>
                <w:rFonts w:hAnsi="等线"/>
                <w:color w:val="000000"/>
                <w:sz w:val="18"/>
                <w:szCs w:val="18"/>
              </w:rPr>
              <w:t>EGFR，也称为HER1/ERBB1）是I</w:t>
            </w:r>
            <w:r>
              <w:rPr>
                <w:rFonts w:hint="eastAsia" w:hAnsi="等线"/>
                <w:color w:val="000000"/>
                <w:sz w:val="18"/>
                <w:szCs w:val="18"/>
              </w:rPr>
              <w:t>型</w:t>
            </w:r>
            <w:r>
              <w:rPr>
                <w:rFonts w:hAnsi="等线"/>
                <w:color w:val="000000"/>
                <w:sz w:val="18"/>
                <w:szCs w:val="18"/>
              </w:rPr>
              <w:t>受体酪氨酸</w:t>
            </w:r>
            <w:r>
              <w:rPr>
                <w:rFonts w:hint="eastAsia" w:hAnsi="等线"/>
                <w:color w:val="000000"/>
                <w:sz w:val="18"/>
                <w:szCs w:val="18"/>
              </w:rPr>
              <w:t>激酶亚</w:t>
            </w:r>
            <w:r>
              <w:rPr>
                <w:rFonts w:hAnsi="等线"/>
                <w:color w:val="000000"/>
                <w:sz w:val="18"/>
                <w:szCs w:val="18"/>
              </w:rPr>
              <w:t xml:space="preserve">成员，由三部分组成：含有配体结合区的细胞外域、单次跨膜的疏水α螺旋区、含有酪氨酸蛋白激酶（RTK）活性的细胞内结构域。EGFR属于ErbB细胞膜受体家族，该家族还包括：ERBB2 </w:t>
            </w:r>
            <w:r>
              <w:rPr>
                <w:rFonts w:hint="eastAsia" w:hAnsi="等线"/>
                <w:color w:val="000000"/>
                <w:sz w:val="18"/>
                <w:szCs w:val="18"/>
              </w:rPr>
              <w:t>(</w:t>
            </w:r>
            <w:r>
              <w:rPr>
                <w:rFonts w:hAnsi="等线"/>
                <w:color w:val="000000"/>
                <w:sz w:val="18"/>
                <w:szCs w:val="18"/>
              </w:rPr>
              <w:t>HER2/Neu</w:t>
            </w:r>
            <w:r>
              <w:rPr>
                <w:rFonts w:hint="eastAsia" w:hAnsi="等线"/>
                <w:color w:val="000000"/>
                <w:sz w:val="18"/>
                <w:szCs w:val="18"/>
              </w:rPr>
              <w:t>)</w:t>
            </w:r>
            <w:r>
              <w:rPr>
                <w:rFonts w:hAnsi="等线"/>
                <w:color w:val="000000"/>
                <w:sz w:val="18"/>
                <w:szCs w:val="18"/>
              </w:rPr>
              <w:t xml:space="preserve">、ERBB3 </w:t>
            </w:r>
            <w:r>
              <w:rPr>
                <w:rFonts w:hint="eastAsia" w:hAnsi="等线"/>
                <w:color w:val="000000"/>
                <w:sz w:val="18"/>
                <w:szCs w:val="18"/>
              </w:rPr>
              <w:t>(</w:t>
            </w:r>
            <w:r>
              <w:rPr>
                <w:rFonts w:hAnsi="等线"/>
                <w:color w:val="000000"/>
                <w:sz w:val="18"/>
                <w:szCs w:val="18"/>
              </w:rPr>
              <w:t>HER3</w:t>
            </w:r>
            <w:r>
              <w:rPr>
                <w:rFonts w:hint="eastAsia" w:hAnsi="等线"/>
                <w:color w:val="000000"/>
                <w:sz w:val="18"/>
                <w:szCs w:val="18"/>
              </w:rPr>
              <w:t>)</w:t>
            </w:r>
            <w:r>
              <w:rPr>
                <w:rFonts w:hAnsi="等线"/>
                <w:color w:val="000000"/>
                <w:sz w:val="18"/>
                <w:szCs w:val="18"/>
              </w:rPr>
              <w:t xml:space="preserve">以及ERBB4 </w:t>
            </w:r>
            <w:r>
              <w:rPr>
                <w:rFonts w:hint="eastAsia" w:hAnsi="等线"/>
                <w:color w:val="000000"/>
                <w:sz w:val="18"/>
                <w:szCs w:val="18"/>
              </w:rPr>
              <w:t>(</w:t>
            </w:r>
            <w:r>
              <w:rPr>
                <w:rFonts w:hAnsi="等线"/>
                <w:color w:val="000000"/>
                <w:sz w:val="18"/>
                <w:szCs w:val="18"/>
              </w:rPr>
              <w:t>HER4</w:t>
            </w:r>
            <w:r>
              <w:rPr>
                <w:rFonts w:hint="eastAsia" w:hAnsi="等线"/>
                <w:color w:val="000000"/>
                <w:sz w:val="18"/>
                <w:szCs w:val="18"/>
              </w:rPr>
              <w:t>)</w:t>
            </w:r>
            <w:r>
              <w:rPr>
                <w:rFonts w:hAnsi="等线"/>
                <w:color w:val="000000"/>
                <w:sz w:val="18"/>
                <w:szCs w:val="18"/>
              </w:rPr>
              <w:t xml:space="preserve"> </w:t>
            </w:r>
            <w:r>
              <w:rPr>
                <w:rFonts w:hint="eastAsia" w:hAnsi="等线"/>
                <w:color w:val="000000"/>
                <w:sz w:val="18"/>
                <w:szCs w:val="18"/>
              </w:rPr>
              <w:t>(</w:t>
            </w:r>
            <w:r>
              <w:rPr>
                <w:rFonts w:hAnsi="等线"/>
                <w:color w:val="000000"/>
                <w:sz w:val="18"/>
                <w:szCs w:val="18"/>
              </w:rPr>
              <w:t>PMID</w:t>
            </w:r>
            <w:r>
              <w:rPr>
                <w:rFonts w:hint="eastAsia" w:hAnsi="等线"/>
                <w:color w:val="000000"/>
                <w:sz w:val="18"/>
                <w:szCs w:val="18"/>
              </w:rPr>
              <w:t>:</w:t>
            </w:r>
            <w:r>
              <w:rPr>
                <w:rFonts w:hAnsi="等线"/>
                <w:color w:val="000000"/>
                <w:sz w:val="18"/>
                <w:szCs w:val="18"/>
              </w:rPr>
              <w:t xml:space="preserve"> 11252954</w:t>
            </w:r>
            <w:r>
              <w:rPr>
                <w:rFonts w:hint="eastAsia" w:hAnsi="等线"/>
                <w:color w:val="000000"/>
                <w:sz w:val="18"/>
                <w:szCs w:val="18"/>
              </w:rPr>
              <w:t>;</w:t>
            </w:r>
            <w:r>
              <w:rPr>
                <w:rFonts w:hAnsi="等线"/>
                <w:color w:val="000000"/>
                <w:sz w:val="18"/>
                <w:szCs w:val="18"/>
              </w:rPr>
              <w:t xml:space="preserve"> PMID</w:t>
            </w:r>
            <w:r>
              <w:rPr>
                <w:rFonts w:hint="eastAsia" w:hAnsi="等线"/>
                <w:color w:val="000000"/>
                <w:sz w:val="18"/>
                <w:szCs w:val="18"/>
              </w:rPr>
              <w:t>:</w:t>
            </w:r>
            <w:r>
              <w:rPr>
                <w:rFonts w:hAnsi="等线"/>
                <w:color w:val="000000"/>
                <w:sz w:val="18"/>
                <w:szCs w:val="18"/>
              </w:rPr>
              <w:t xml:space="preserve"> 15864276</w:t>
            </w:r>
            <w:r>
              <w:rPr>
                <w:rFonts w:hint="eastAsia" w:hAnsi="等线"/>
                <w:color w:val="000000"/>
                <w:sz w:val="18"/>
                <w:szCs w:val="18"/>
              </w:rPr>
              <w:t>;</w:t>
            </w:r>
            <w:r>
              <w:rPr>
                <w:rFonts w:hAnsi="等线"/>
                <w:color w:val="000000"/>
                <w:sz w:val="18"/>
                <w:szCs w:val="18"/>
              </w:rPr>
              <w:t xml:space="preserve"> PMID</w:t>
            </w:r>
            <w:r>
              <w:rPr>
                <w:rFonts w:hint="eastAsia" w:hAnsi="等线"/>
                <w:color w:val="000000"/>
                <w:sz w:val="18"/>
                <w:szCs w:val="18"/>
              </w:rPr>
              <w:t>:</w:t>
            </w:r>
            <w:r>
              <w:rPr>
                <w:rFonts w:hAnsi="等线"/>
                <w:color w:val="000000"/>
                <w:sz w:val="18"/>
                <w:szCs w:val="18"/>
              </w:rPr>
              <w:t xml:space="preserve"> 20887192</w:t>
            </w:r>
            <w:r>
              <w:rPr>
                <w:rFonts w:hint="eastAsia" w:hAnsi="等线"/>
                <w:color w:val="000000"/>
                <w:sz w:val="18"/>
                <w:szCs w:val="18"/>
              </w:rPr>
              <w:t>)</w:t>
            </w:r>
            <w:r>
              <w:rPr>
                <w:rFonts w:hAnsi="等线"/>
                <w:color w:val="000000"/>
                <w:sz w:val="18"/>
                <w:szCs w:val="18"/>
              </w:rPr>
              <w:t>。至少有6种EGFR配体：EGF、转化生长因子α（TGF-α）、肝素结合性表皮生长因子（HB-EGF）、</w:t>
            </w:r>
            <w:r>
              <w:rPr>
                <w:rFonts w:hint="eastAsia" w:hAnsi="等线"/>
                <w:color w:val="000000"/>
                <w:sz w:val="18"/>
                <w:szCs w:val="18"/>
              </w:rPr>
              <w:t>双调蛋白、β细胞调节素和表皮调节素。胞外配体结合并激活</w:t>
            </w:r>
            <w:r>
              <w:rPr>
                <w:rFonts w:hAnsi="等线"/>
                <w:color w:val="000000"/>
                <w:sz w:val="18"/>
                <w:szCs w:val="18"/>
              </w:rPr>
              <w:t>EGFR后，EGFR能够通过多种信号通路</w:t>
            </w:r>
            <w:r>
              <w:rPr>
                <w:rFonts w:hint="eastAsia" w:hAnsi="等线"/>
                <w:color w:val="000000"/>
                <w:sz w:val="18"/>
                <w:szCs w:val="18"/>
              </w:rPr>
              <w:t>介导</w:t>
            </w:r>
            <w:r>
              <w:rPr>
                <w:rFonts w:hAnsi="等线"/>
                <w:color w:val="000000"/>
                <w:sz w:val="18"/>
                <w:szCs w:val="18"/>
              </w:rPr>
              <w:t>胞内信号传导，这些信号通路包括RAS/RAF/MAPK，PI3K/AKT/mTOR以及STAT（PMID: 19922469）。这些信号通路的激活能够促进细胞的增殖、迁移、分化，并能减少细胞死亡（PMID: 15217963; PMID: 15219619）</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ERBB2</w:t>
            </w:r>
          </w:p>
        </w:tc>
        <w:tc>
          <w:tcPr>
            <w:tcW w:w="4182" w:type="pct"/>
            <w:vAlign w:val="center"/>
          </w:tcPr>
          <w:p>
            <w:pPr>
              <w:rPr>
                <w:rFonts w:hAnsi="等线"/>
                <w:color w:val="000000"/>
                <w:sz w:val="18"/>
                <w:szCs w:val="18"/>
              </w:rPr>
            </w:pPr>
            <w:r>
              <w:rPr>
                <w:rFonts w:hAnsi="等线"/>
                <w:color w:val="000000"/>
                <w:sz w:val="18"/>
                <w:szCs w:val="18"/>
              </w:rPr>
              <w:t>ERBB2（又称HER2）是一种跨膜受体，同时也是受体酪氨酸激酶ERBB家族的成员，该家族还包括EGFR，ERBB3和ERBB4。ERBB2不</w:t>
            </w:r>
            <w:r>
              <w:rPr>
                <w:rFonts w:hint="eastAsia" w:hAnsi="等线"/>
                <w:color w:val="000000"/>
                <w:sz w:val="18"/>
                <w:szCs w:val="18"/>
              </w:rPr>
              <w:t>与</w:t>
            </w:r>
            <w:r>
              <w:rPr>
                <w:rFonts w:hAnsi="等线"/>
                <w:color w:val="000000"/>
                <w:sz w:val="18"/>
                <w:szCs w:val="18"/>
              </w:rPr>
              <w:t>其配体直接结合。相反，它通过结合其他与配体结合的ERBB受体来增强其活性（PMID: 12620236）。ERBB2可以与任何其他的EGFR家族受体形成异源二聚体（PMID: 9130710），从而启动下游多个信号通路的激活，包括MAPK和PI3K/AKT/mTOR信号通路（PMID: 12853564）。ERBB2还可以同源二聚化并启动MAPK</w:t>
            </w:r>
            <w:r>
              <w:rPr>
                <w:rFonts w:hint="eastAsia" w:hAnsi="等线"/>
                <w:color w:val="000000"/>
                <w:sz w:val="18"/>
                <w:szCs w:val="18"/>
              </w:rPr>
              <w:t>、</w:t>
            </w:r>
            <w:r>
              <w:rPr>
                <w:rFonts w:hAnsi="等线"/>
                <w:color w:val="000000"/>
                <w:sz w:val="18"/>
                <w:szCs w:val="18"/>
              </w:rPr>
              <w:t>SRC</w:t>
            </w:r>
            <w:r>
              <w:rPr>
                <w:rFonts w:hint="eastAsia" w:hAnsi="等线"/>
                <w:color w:val="000000"/>
                <w:sz w:val="18"/>
                <w:szCs w:val="18"/>
              </w:rPr>
              <w:t>、</w:t>
            </w:r>
            <w:r>
              <w:rPr>
                <w:rFonts w:hAnsi="等线"/>
                <w:color w:val="000000"/>
                <w:sz w:val="18"/>
                <w:szCs w:val="18"/>
              </w:rPr>
              <w:t>PI3K和STAT信号传导（PMID: 22785351）。ERBB2介导的信号通路的激活最终会导致细胞增殖、迁移和分化（PMID: 18045542）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FANCL</w:t>
            </w:r>
          </w:p>
        </w:tc>
        <w:tc>
          <w:tcPr>
            <w:tcW w:w="4182" w:type="pct"/>
            <w:vAlign w:val="center"/>
          </w:tcPr>
          <w:p>
            <w:pPr>
              <w:rPr>
                <w:rFonts w:hAnsi="等线"/>
                <w:color w:val="000000"/>
                <w:sz w:val="18"/>
                <w:szCs w:val="18"/>
              </w:rPr>
            </w:pPr>
            <w:r>
              <w:rPr>
                <w:rFonts w:hint="eastAsia" w:hAnsi="等线"/>
                <w:color w:val="000000"/>
                <w:sz w:val="18"/>
                <w:szCs w:val="18"/>
              </w:rPr>
              <w:t>FANCL是一种E3泛素连接酶，属于范可尼贫血（FA）蛋白。这些蛋白通过利用BRCA1/2蛋白作为支架定位至DNA损伤部位，从而协调同源重组修复（HRR）途径，特别是链间DNA交联（PMID: 21605559）。FANCD2的单泛素化激活在这种DNA修复过程中不可或缺（PMID: 17352736）。FANCD2的单泛素化依赖于多种FA核蛋白复合物，包括FANCL、FANCA、FANCB、FANCC、FANCE、FANCF、FANCG和FANCM。FANCL是FANCD2单泛素化并发挥HRR活性所需的泛素连接酶（PMID: 20154706）。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FGFR1</w:t>
            </w:r>
          </w:p>
        </w:tc>
        <w:tc>
          <w:tcPr>
            <w:tcW w:w="4182" w:type="pct"/>
            <w:vAlign w:val="center"/>
          </w:tcPr>
          <w:p>
            <w:pPr>
              <w:rPr>
                <w:rFonts w:hAnsi="等线"/>
                <w:color w:val="000000"/>
                <w:sz w:val="18"/>
                <w:szCs w:val="18"/>
              </w:rPr>
            </w:pPr>
            <w:r>
              <w:rPr>
                <w:rFonts w:hint="eastAsia" w:hAnsi="等线"/>
                <w:color w:val="000000"/>
                <w:sz w:val="18"/>
                <w:szCs w:val="18"/>
              </w:rPr>
              <w:t>FGFR1是一种酪氨酸激酶受体，是成纤维细胞生长因子受体（FGFR）家族的成员。该受体由含有两个或三个类Ig环的胞外结构域、跨膜区以及具有激酶活性的胞浆区结构域组成。FGF配体与FGFR1结合导致下游信号通路（包括PI3K/AKT和MAPK通路）快速二聚化并激活（PMID: 16597617）。FGFR1广泛表达于各个组织，对于多种细胞功能（如胚胎发育、骨骼生成、有丝分裂和分化）是必需的。细胞特异性FGFR1调控取决于组织分布和配体可用性（PMID: 16597617）。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FGFR2</w:t>
            </w:r>
          </w:p>
        </w:tc>
        <w:tc>
          <w:tcPr>
            <w:tcW w:w="4182" w:type="pct"/>
            <w:vAlign w:val="center"/>
          </w:tcPr>
          <w:p>
            <w:pPr>
              <w:rPr>
                <w:rFonts w:hAnsi="等线"/>
                <w:color w:val="000000"/>
                <w:sz w:val="18"/>
                <w:szCs w:val="18"/>
              </w:rPr>
            </w:pPr>
            <w:r>
              <w:rPr>
                <w:rFonts w:hint="eastAsia" w:hAnsi="等线"/>
                <w:color w:val="000000"/>
                <w:sz w:val="18"/>
                <w:szCs w:val="18"/>
              </w:rPr>
              <w:t>FGFR2是一种酪氨酸激酶受体，是成纤维细胞生长因子受体（FGFR）家族的成员。FGF配体与FGFR2结合导致下游信号通路（包括PI3K/AKT和MAPK通路）快速二聚化并激活（PMID: 28030802）。FGFR2在外胚层衍生组织和内皮组织中表达，FGFR2信号传导有助于多种细胞功能，包括体内稳态、有丝分裂、增殖和分化（PMID: 20094046）。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FGFR3</w:t>
            </w:r>
          </w:p>
        </w:tc>
        <w:tc>
          <w:tcPr>
            <w:tcW w:w="4182" w:type="pct"/>
            <w:vAlign w:val="center"/>
          </w:tcPr>
          <w:p>
            <w:pPr>
              <w:rPr>
                <w:rFonts w:hAnsi="等线"/>
                <w:color w:val="000000"/>
                <w:sz w:val="18"/>
                <w:szCs w:val="18"/>
              </w:rPr>
            </w:pPr>
            <w:r>
              <w:rPr>
                <w:rFonts w:hint="eastAsia" w:hAnsi="等线"/>
                <w:color w:val="000000"/>
                <w:sz w:val="18"/>
                <w:szCs w:val="18"/>
              </w:rPr>
              <w:t>FGFR3是一种酪氨酸激酶受体，是成纤维细胞生长因子受体（FGFR）家族的成员。FGF配体与FGFR3结合导致下游信号通路（包括PI3K/AKT和MAPK通路）快速二聚化并激活（PMID: 28030802）。FGFR3在神经元和感觉细胞中高表达，并且FGFR3信号传导促进多种细胞功能，包括增殖、分化、细胞迁移和凋亡（PMID: 20094046）。FGFR3基因的可变剪接可产生两种同工型蛋白，即FGFR3b和FGFR3c，它们具有独特的组织表达模式和特异性配体结合（PMID: 7512569）。</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FLT3</w:t>
            </w:r>
          </w:p>
        </w:tc>
        <w:tc>
          <w:tcPr>
            <w:tcW w:w="4182" w:type="pct"/>
            <w:vAlign w:val="center"/>
          </w:tcPr>
          <w:p>
            <w:pPr>
              <w:rPr>
                <w:rFonts w:hAnsi="等线"/>
                <w:color w:val="000000"/>
                <w:sz w:val="18"/>
                <w:szCs w:val="18"/>
              </w:rPr>
            </w:pPr>
            <w:r>
              <w:rPr>
                <w:rFonts w:hint="eastAsia" w:hAnsi="等线"/>
                <w:color w:val="000000"/>
                <w:sz w:val="18"/>
                <w:szCs w:val="18"/>
              </w:rPr>
              <w:t>FLT3是一种跨膜受体酪氨酸激酶，其主要作用为参与调控造血功能（PMID:12032772）。FLT3与其配体FLT3L结合后发生二聚化和自磷酸化而被激活。激活的FLT3通过多种途径激活下游信号传导，包括MAPK、PI3K/AKT和STAT3/5途径，这些途径在造血细胞增殖、分化和存活中发挥关键作用（PMID: 12951584）。野生型FLT3对于造血干细胞的生长和分化非常重要，并且通常在未成熟的骨髓和淋巴样细胞中表达（PMID: 12951584）。</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KRAS</w:t>
            </w:r>
          </w:p>
        </w:tc>
        <w:tc>
          <w:tcPr>
            <w:tcW w:w="4182" w:type="pct"/>
            <w:vAlign w:val="center"/>
          </w:tcPr>
          <w:p>
            <w:pPr>
              <w:rPr>
                <w:rFonts w:hAnsi="等线"/>
                <w:color w:val="000000"/>
                <w:sz w:val="18"/>
                <w:szCs w:val="18"/>
              </w:rPr>
            </w:pPr>
            <w:r>
              <w:rPr>
                <w:rFonts w:hAnsi="等线"/>
                <w:color w:val="000000"/>
                <w:sz w:val="18"/>
                <w:szCs w:val="18"/>
              </w:rPr>
              <w:t>KRAS是小型GTP酶RAS家族的成员，该家族催化GTP水解为GDP。在生理条件下，这些RAS蛋白在活性（GTP结合）和非活性（GDP结合）状态间循环，以激活受体酪氨酸激酶（RTK）下游的MAPK和PI3K致癌途径信号传导（PMID: 22189424）。RAS酶的功能受</w:t>
            </w:r>
            <w:r>
              <w:rPr>
                <w:rFonts w:hint="eastAsia" w:hAnsi="等线"/>
                <w:color w:val="000000"/>
                <w:sz w:val="18"/>
                <w:szCs w:val="18"/>
              </w:rPr>
              <w:t>到</w:t>
            </w:r>
            <w:r>
              <w:rPr>
                <w:rFonts w:hAnsi="等线"/>
                <w:color w:val="000000"/>
                <w:sz w:val="18"/>
                <w:szCs w:val="18"/>
              </w:rPr>
              <w:t>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NRAS</w:t>
            </w:r>
          </w:p>
        </w:tc>
        <w:tc>
          <w:tcPr>
            <w:tcW w:w="4182" w:type="pct"/>
            <w:vAlign w:val="center"/>
          </w:tcPr>
          <w:p>
            <w:pPr>
              <w:rPr>
                <w:rFonts w:hAnsi="等线"/>
                <w:color w:val="000000"/>
                <w:sz w:val="18"/>
                <w:szCs w:val="18"/>
              </w:rPr>
            </w:pPr>
            <w:r>
              <w:rPr>
                <w:rFonts w:hint="eastAsia" w:hAnsi="等线"/>
                <w:color w:val="000000"/>
                <w:sz w:val="18"/>
                <w:szCs w:val="18"/>
              </w:rPr>
              <w:t>NRAS是小型GTP酶RAS家族的成员，该家族催化GTP水解为GDP。在生理条件下，这些RAS蛋白在活性（GTP结合）和非活性（GDP结合）状态间循环，以激活受体酪氨酸激酶（RTK）下游的MAPK和PI3K致癌途径信号传导（PMID: 22189424）。RAS酶的功能受到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IDH1</w:t>
            </w:r>
          </w:p>
        </w:tc>
        <w:tc>
          <w:tcPr>
            <w:tcW w:w="4182" w:type="pct"/>
            <w:vAlign w:val="center"/>
          </w:tcPr>
          <w:p>
            <w:pPr>
              <w:rPr>
                <w:rFonts w:hAnsi="等线"/>
                <w:color w:val="000000"/>
                <w:sz w:val="18"/>
                <w:szCs w:val="18"/>
              </w:rPr>
            </w:pPr>
            <w:r>
              <w:rPr>
                <w:rFonts w:hint="eastAsia" w:hAnsi="等线"/>
                <w:color w:val="000000"/>
                <w:sz w:val="18"/>
                <w:szCs w:val="18"/>
              </w:rPr>
              <w:t>IDH1（异柠檬酸脱氢酶1）是三羧酸循环中的一种关键酶，催化异柠檬酸氧化脱羧生成α-酮戊二酸(α-KG)。IDH1主要在细胞质和过氧化物酶体中表达，利用NADP(+)作为电子受体，在细胞质NADPH的生成中发挥作用。IDH1催化位点的突变导致酶活性增强，可将α-KG转化为“致癌代谢物”D-2-羟基谷氨酸(2-HG)</w:t>
            </w:r>
            <w:r>
              <w:rPr>
                <w:rFonts w:hAnsi="等线"/>
                <w:color w:val="000000"/>
                <w:sz w:val="18"/>
                <w:szCs w:val="18"/>
              </w:rPr>
              <w:t xml:space="preserve"> </w:t>
            </w:r>
            <w:r>
              <w:rPr>
                <w:rFonts w:hint="eastAsia" w:hAnsi="等线"/>
                <w:color w:val="000000"/>
                <w:sz w:val="18"/>
                <w:szCs w:val="18"/>
              </w:rPr>
              <w:t>(PMID: 20171147)。2-HG通过抑制多种以α-KG为底物的酶的活性来促进肿瘤的发展，其中一些酶参与调控DNA去甲基化、组蛋白去甲基化、缺氧适应和胶原纤维成熟。</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KIT</w:t>
            </w:r>
          </w:p>
        </w:tc>
        <w:tc>
          <w:tcPr>
            <w:tcW w:w="4182" w:type="pct"/>
            <w:vAlign w:val="center"/>
          </w:tcPr>
          <w:p>
            <w:pPr>
              <w:rPr>
                <w:rFonts w:hAnsi="等线"/>
                <w:color w:val="000000"/>
                <w:sz w:val="18"/>
                <w:szCs w:val="18"/>
              </w:rPr>
            </w:pPr>
            <w:r>
              <w:rPr>
                <w:rFonts w:hint="eastAsia" w:hAnsi="等线"/>
                <w:color w:val="000000"/>
                <w:sz w:val="18"/>
                <w:szCs w:val="18"/>
              </w:rPr>
              <w:t>原癌基因KIT编码3型跨膜受体酪氨酸激酶。该受体与其配体干细胞因子[SCF，也称为肥大细胞生长因子</w:t>
            </w:r>
            <w:r>
              <w:rPr>
                <w:rFonts w:hAnsi="等线"/>
                <w:color w:val="000000"/>
                <w:sz w:val="18"/>
                <w:szCs w:val="18"/>
              </w:rPr>
              <w:t>(</w:t>
            </w:r>
            <w:r>
              <w:rPr>
                <w:rFonts w:hint="eastAsia" w:hAnsi="等线"/>
                <w:color w:val="000000"/>
                <w:sz w:val="18"/>
                <w:szCs w:val="18"/>
              </w:rPr>
              <w:t>MGF</w:t>
            </w:r>
            <w:r>
              <w:rPr>
                <w:rFonts w:hAnsi="等线"/>
                <w:color w:val="000000"/>
                <w:sz w:val="18"/>
                <w:szCs w:val="18"/>
              </w:rPr>
              <w:t>)</w:t>
            </w:r>
            <w:r>
              <w:rPr>
                <w:rFonts w:hint="eastAsia" w:hAnsi="等线"/>
                <w:color w:val="000000"/>
                <w:sz w:val="18"/>
                <w:szCs w:val="18"/>
              </w:rPr>
              <w:t>]</w:t>
            </w:r>
            <w:r>
              <w:rPr>
                <w:rFonts w:hAnsi="等线"/>
                <w:color w:val="000000"/>
                <w:sz w:val="18"/>
                <w:szCs w:val="18"/>
              </w:rPr>
              <w:t xml:space="preserve"> </w:t>
            </w:r>
            <w:r>
              <w:rPr>
                <w:rFonts w:hint="eastAsia" w:hAnsi="等线"/>
                <w:color w:val="000000"/>
                <w:sz w:val="18"/>
                <w:szCs w:val="18"/>
              </w:rPr>
              <w:t>结合后可通过二聚化和自磷酸化被激活（PMID: 9438854）。KIT激活后通过多种途径增加胞内信号传导，包括PI3K、MAPK和STAT途径，最终导致细胞增殖和存活（PMID: 22089421）。对于野生型胃肠道间质瘤（GIST；无KIT或PDGFRA突变）患者，NCCN指南推荐检测胚系琥珀酸脱氢酶（SDH）突变。约有10-15% GIST患者是野生型；因此，突变不存在并不能排除对GIST的诊断。在没有KIT突变的患者中，部分晚期GIST患者可从伊马替尼治疗中受益（0-45%的患者）（NCCN软组织肉瘤v.2.2017）。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MAP2K1</w:t>
            </w:r>
          </w:p>
        </w:tc>
        <w:tc>
          <w:tcPr>
            <w:tcW w:w="4182" w:type="pct"/>
            <w:vAlign w:val="center"/>
          </w:tcPr>
          <w:p>
            <w:pPr>
              <w:rPr>
                <w:rFonts w:hAnsi="等线"/>
                <w:color w:val="000000"/>
                <w:sz w:val="18"/>
                <w:szCs w:val="18"/>
              </w:rPr>
            </w:pPr>
            <w:r>
              <w:rPr>
                <w:rFonts w:hint="eastAsia" w:hAnsi="等线"/>
                <w:color w:val="000000"/>
                <w:sz w:val="18"/>
                <w:szCs w:val="18"/>
              </w:rPr>
              <w:t>MAP2K1（又称MEK1）是一种丝氨酸/苏氨酸蛋白激酶，在丝裂原激活蛋白激酶（MAPK）信号级联反应中作为效应蛋白发挥作用（PMID: 17496922）。MAPK信号通路参与多种细胞进程的调控，包括细胞增殖、分化、细胞粘附和转录（PMID: 17496922）。MAPK信号转导是以三级激酶级联的方式进行的，MEK1活性依赖于上游RAF激酶的磷酸化。活化的MEK1会依次磷酸化ERK1/2（细胞外信号调节激酶1/2），后者可调控某些转录因子的活性（PMID: 22177953）。这些由生长因子、细胞因子和激素激活上游受体酪氨酸激酶进而触发的信号转导事件最终会导致调控细胞生长、分化、增殖和存活的关键调节因子的表达发生改变（PMID: 11242034）。MEK1信号通路的异常调节通常与RAS和RAF基因突变有关（PMID: 12509763）。MAPK信号通路的过度激活在人类癌症中十分常见，如黑色素瘤、结直肠癌和肺癌等。</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MET</w:t>
            </w:r>
          </w:p>
        </w:tc>
        <w:tc>
          <w:tcPr>
            <w:tcW w:w="4182" w:type="pct"/>
            <w:vAlign w:val="center"/>
          </w:tcPr>
          <w:p>
            <w:pPr>
              <w:rPr>
                <w:rFonts w:hAnsi="等线"/>
                <w:color w:val="000000"/>
                <w:sz w:val="18"/>
                <w:szCs w:val="18"/>
              </w:rPr>
            </w:pPr>
            <w:r>
              <w:rPr>
                <w:rFonts w:hint="eastAsia" w:hAnsi="等线"/>
                <w:color w:val="000000"/>
                <w:sz w:val="18"/>
                <w:szCs w:val="18"/>
              </w:rPr>
              <w:t>MET由原癌基因c-MET编码，具有酪氨酸激酶活性，是肝细胞生长因子（HGF）的受体。c-MET主要在上皮细胞中表达。HGF由周围的间充质细胞表达和释放，在正常生理条件下，HGF与c-MET结合会刺激c-MET二聚化和自磷酸化，从而激活多种信号通路，包括RAS/RAF/MAPK，PI3K/AKT/MTOR，SRC/FAK和JUN，进而调控细胞周期进程、细胞增殖、细胞运动和迁移以及细胞存活（</w:t>
            </w:r>
            <w:r>
              <w:rPr>
                <w:rFonts w:hAnsi="等线"/>
                <w:color w:val="000000"/>
                <w:sz w:val="18"/>
                <w:szCs w:val="18"/>
              </w:rPr>
              <w:t>PMID: 22128285</w:t>
            </w:r>
            <w:r>
              <w:rPr>
                <w:rFonts w:hint="eastAsia" w:hAnsi="等线"/>
                <w:color w:val="000000"/>
                <w:sz w:val="18"/>
                <w:szCs w:val="18"/>
              </w:rPr>
              <w:t>）。正常情况下，c-MET信号传导对于胚胎发育和组织修复至关重要（</w:t>
            </w:r>
            <w:r>
              <w:rPr>
                <w:rFonts w:hAnsi="等线"/>
                <w:color w:val="000000"/>
                <w:sz w:val="18"/>
                <w:szCs w:val="18"/>
              </w:rPr>
              <w:t>PMID: 7651534</w:t>
            </w:r>
            <w:r>
              <w:rPr>
                <w:rFonts w:hint="eastAsia" w:hAnsi="等线"/>
                <w:color w:val="000000"/>
                <w:sz w:val="18"/>
                <w:szCs w:val="18"/>
              </w:rPr>
              <w:t>;</w:t>
            </w:r>
            <w:r>
              <w:rPr>
                <w:rFonts w:hAnsi="等线"/>
                <w:color w:val="000000"/>
                <w:sz w:val="18"/>
                <w:szCs w:val="18"/>
              </w:rPr>
              <w:t xml:space="preserve"> PMID: 15070743</w:t>
            </w:r>
            <w:r>
              <w:rPr>
                <w:rFonts w:hint="eastAsia" w:hAnsi="等线"/>
                <w:color w:val="000000"/>
                <w:sz w:val="18"/>
                <w:szCs w:val="18"/>
              </w:rPr>
              <w:t>）。肿瘤中MET的突变、扩增或过度表达使得c-MET组成性激活，从而促进肿瘤细胞不受控制的增殖和转移。</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NF1</w:t>
            </w:r>
          </w:p>
        </w:tc>
        <w:tc>
          <w:tcPr>
            <w:tcW w:w="4182" w:type="pct"/>
            <w:vAlign w:val="center"/>
          </w:tcPr>
          <w:p>
            <w:pPr>
              <w:rPr>
                <w:rFonts w:hAnsi="等线"/>
                <w:color w:val="000000"/>
                <w:sz w:val="18"/>
                <w:szCs w:val="18"/>
              </w:rPr>
            </w:pPr>
            <w:r>
              <w:rPr>
                <w:rFonts w:hint="eastAsia" w:hAnsi="等线"/>
                <w:color w:val="000000"/>
                <w:sz w:val="18"/>
                <w:szCs w:val="18"/>
              </w:rPr>
              <w:t>NF1基因编码一种GTP酶激活蛋白（GAP），用于小GTP酶HRAS、KRAS和NRAS的激活（PMID: 1946382）。NF1蛋白与RAS结合时可稳定RAS蛋白的GTP酶活性，将RAS从与GTP结合的激活状态转换成与GDP结合的失活状态（PMID: 9302992）。GAP相关结构域（GRD）是NF1的催化结构域，它仅占N</w:t>
            </w:r>
            <w:r>
              <w:rPr>
                <w:rFonts w:hAnsi="等线"/>
                <w:color w:val="000000"/>
                <w:sz w:val="18"/>
                <w:szCs w:val="18"/>
              </w:rPr>
              <w:t>F1</w:t>
            </w:r>
            <w:r>
              <w:rPr>
                <w:rFonts w:hint="eastAsia" w:hAnsi="等线"/>
                <w:color w:val="000000"/>
                <w:sz w:val="18"/>
                <w:szCs w:val="18"/>
              </w:rPr>
              <w:t>蛋白约10%，但直接负责其GAP活性。</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NTRK1</w:t>
            </w:r>
          </w:p>
        </w:tc>
        <w:tc>
          <w:tcPr>
            <w:tcW w:w="4182" w:type="pct"/>
            <w:vAlign w:val="center"/>
          </w:tcPr>
          <w:p>
            <w:pPr>
              <w:rPr>
                <w:rFonts w:hAnsi="等线"/>
                <w:color w:val="000000"/>
                <w:sz w:val="18"/>
                <w:szCs w:val="18"/>
              </w:rPr>
            </w:pPr>
            <w:r>
              <w:rPr>
                <w:rFonts w:hint="eastAsia" w:hAnsi="等线"/>
                <w:color w:val="000000"/>
                <w:sz w:val="18"/>
                <w:szCs w:val="18"/>
              </w:rPr>
              <w:t>NTRK1（神经营养受体酪氨酸激酶1）蛋白是一种跨膜神经营养受体，存在于神经细胞上，并通过与其主要配体神经生长因子（NGF）的结合而被激活。NTRK1由胞外的配体结合结构域、跨膜结构域以及含酪氨酸激酶结构域的胞内区组成。NTRK1的致癌性激活可导致自磷酸化和MAP激酶、PI3-激酶和PLC-γ信号途径的激活，介导细胞增殖、存活和分化（PMID: 12652644）。NTRK1突变和融合存在于多种癌症中。NTRK1变异细胞的治疗策略包括广泛性的受体酪氨酸激酶抑制剂和特异性的NTRK激酶抑制剂。</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NTRK2</w:t>
            </w:r>
          </w:p>
        </w:tc>
        <w:tc>
          <w:tcPr>
            <w:tcW w:w="4182" w:type="pct"/>
            <w:vAlign w:val="center"/>
          </w:tcPr>
          <w:p>
            <w:pPr>
              <w:rPr>
                <w:rFonts w:hAnsi="等线"/>
                <w:color w:val="000000"/>
                <w:sz w:val="18"/>
                <w:szCs w:val="18"/>
              </w:rPr>
            </w:pPr>
            <w:r>
              <w:rPr>
                <w:rFonts w:hint="eastAsia" w:hAnsi="等线"/>
                <w:color w:val="000000"/>
                <w:sz w:val="18"/>
                <w:szCs w:val="18"/>
              </w:rPr>
              <w:t>NTRK2基因（神经营养受体酪氨酸激酶2）编码跨膜神经营养受体，参与的信号转导对于神经系统的正常发育至关重要（PMID: 8145823）。NTRK2由胞外的配体结合结构域、跨膜结构域以及含酪氨酸激酶结构域的胞内区组成。神经细胞上的NTRK2的配体包括神经生长因子（NGF）、脑源性神经营养因子（BDNF）和神经营养素3（NT-3），通过与这三个配体的其中之一结合，NTRK2正常激活，并导致自磷酸化和下游信号通路的激活，通过MAPK、PI3K和PLC-γ信号途径控制和促进细胞增殖、存活和分化（PMID: 10851172）。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NTRK3</w:t>
            </w:r>
          </w:p>
        </w:tc>
        <w:tc>
          <w:tcPr>
            <w:tcW w:w="4182" w:type="pct"/>
            <w:vAlign w:val="center"/>
          </w:tcPr>
          <w:p>
            <w:pPr>
              <w:rPr>
                <w:rFonts w:hAnsi="等线"/>
                <w:color w:val="000000"/>
                <w:sz w:val="18"/>
                <w:szCs w:val="18"/>
              </w:rPr>
            </w:pPr>
            <w:r>
              <w:rPr>
                <w:rFonts w:hint="eastAsia" w:hAnsi="等线"/>
                <w:color w:val="000000"/>
                <w:sz w:val="18"/>
                <w:szCs w:val="18"/>
              </w:rPr>
              <w:t>NTRK3（神经营养性受体酪氨酸激酶3）基因编码跨膜神经营养性受体，通常与其主要配体神经营养素3（NT-3）结合后在神经细胞上被激活。NTRK3由胞外的配体结合结构域、跨膜结构域以及含酪氨酸激酶结构域的胞内区组成。激活的NTRK3会依次导致自磷酸化和下游信号通路的激活，并通过MAPK、PI3K和PLC-γ信号途径控制和促进细胞增殖、存活和分化（PMID: 10851172）。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PALB2</w:t>
            </w:r>
          </w:p>
        </w:tc>
        <w:tc>
          <w:tcPr>
            <w:tcW w:w="4182" w:type="pct"/>
            <w:vAlign w:val="center"/>
          </w:tcPr>
          <w:p>
            <w:pPr>
              <w:rPr>
                <w:rFonts w:hAnsi="等线"/>
                <w:color w:val="000000"/>
                <w:sz w:val="18"/>
                <w:szCs w:val="18"/>
              </w:rPr>
            </w:pPr>
            <w:r>
              <w:rPr>
                <w:rFonts w:hint="eastAsia" w:hAnsi="等线"/>
                <w:color w:val="000000"/>
                <w:sz w:val="18"/>
                <w:szCs w:val="18"/>
              </w:rPr>
              <w:t>PALB2（BRCA2的伴侣和定位子，又称FANCN）编码DNA修复因子和BRCA2结合蛋白（PMID: 16793542）。PALB2在同源重组（HR）途径中充当支架蛋白用于修复双链DNA断裂，可能介导损伤位点上BRCA2和RAD51的募集（PMID: 19423707）。PALB2还与BRCA1相互作用，可能在HR通路中充当BRCA1和BRCA2之间的中介因子（PMID: 19584259）。临床前数据表明，BRCA1和BRCA2的突变可消除与PALB2的相互作用并破坏HR介导的DNA修复（PMID: 16793542）。PALB2的胚系双等位基因突变与遗传性疾病范可尼贫血有关，后者易罹患多种癌症（PMID: 17200672）。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PDGFRA</w:t>
            </w:r>
          </w:p>
        </w:tc>
        <w:tc>
          <w:tcPr>
            <w:tcW w:w="4182" w:type="pct"/>
            <w:vAlign w:val="center"/>
          </w:tcPr>
          <w:p>
            <w:pPr>
              <w:rPr>
                <w:rFonts w:hAnsi="等线"/>
                <w:color w:val="000000"/>
                <w:sz w:val="18"/>
                <w:szCs w:val="18"/>
              </w:rPr>
            </w:pPr>
            <w:r>
              <w:rPr>
                <w:rFonts w:hint="eastAsia" w:hAnsi="等线"/>
                <w:color w:val="000000"/>
                <w:sz w:val="18"/>
                <w:szCs w:val="18"/>
              </w:rPr>
              <w:t>PDGFRA基因编码的蛋白产物是血小板源性生长因子（PDGFRA）。配体与包含免疫球蛋白（Ig）样结构域的PDGFRA胞外结构域结合后会引起二聚化和受体的自磷酸化，进而激活下游信号通路（如RAS-MAPK、PI3K和PLC-γ），这些通路参与调控发育和细胞应答。PDGFRA的催化活性是通过脱离的胞内酪氨酸激酶结构域介导的。PDGFRA可结合除PDGF-DD以外的所有PDGF同工型配体（PMID: 24703957）。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PIK3CA</w:t>
            </w:r>
          </w:p>
        </w:tc>
        <w:tc>
          <w:tcPr>
            <w:tcW w:w="4182" w:type="pct"/>
            <w:vAlign w:val="center"/>
          </w:tcPr>
          <w:p>
            <w:pPr>
              <w:rPr>
                <w:rFonts w:hAnsi="等线"/>
                <w:color w:val="000000"/>
                <w:sz w:val="18"/>
                <w:szCs w:val="18"/>
              </w:rPr>
            </w:pPr>
            <w:r>
              <w:rPr>
                <w:rFonts w:hint="eastAsia" w:hAnsi="等线"/>
                <w:color w:val="000000"/>
                <w:sz w:val="18"/>
                <w:szCs w:val="18"/>
              </w:rPr>
              <w:t>PIK3CA基因编码磷脂酰肌醇3-激酶（PI3K）的p110α催化亚基，PI3K是由受体酪氨酸激酶 [例如表皮生长因子受体(EGFR)和人表皮生长受体2</w:t>
            </w:r>
            <w:r>
              <w:rPr>
                <w:rFonts w:hAnsi="等线"/>
                <w:color w:val="000000"/>
                <w:sz w:val="18"/>
                <w:szCs w:val="18"/>
              </w:rPr>
              <w:t xml:space="preserve"> </w:t>
            </w:r>
            <w:r>
              <w:rPr>
                <w:rFonts w:hint="eastAsia" w:hAnsi="等线"/>
                <w:color w:val="000000"/>
                <w:sz w:val="18"/>
                <w:szCs w:val="18"/>
              </w:rPr>
              <w:t>(HER2/ERBB2)]</w:t>
            </w:r>
            <w:r>
              <w:rPr>
                <w:rFonts w:hAnsi="等线"/>
                <w:color w:val="000000"/>
                <w:sz w:val="18"/>
                <w:szCs w:val="18"/>
              </w:rPr>
              <w:t xml:space="preserve"> </w:t>
            </w:r>
            <w:r>
              <w:rPr>
                <w:rFonts w:hint="eastAsia" w:hAnsi="等线"/>
                <w:color w:val="000000"/>
                <w:sz w:val="18"/>
                <w:szCs w:val="18"/>
              </w:rPr>
              <w:t>驱动的信号转导通路中的整合信号分子。PI3K的活性形式由调节性p85亚单位和催化性p110亚单位组成。激活的PI3K将PIP2转化为PIP3，引发AKT（蛋白激酶B）的磷酸化和雷帕霉素（mTOR）激酶的激活。PI3K/AKT/mTOR信号通路通过调节各种细胞功能（包括细胞增殖、存活、代谢和细胞骨架重组）来促进肿瘤发生（</w:t>
            </w:r>
            <w:r>
              <w:rPr>
                <w:rFonts w:hAnsi="等线"/>
                <w:color w:val="000000"/>
                <w:sz w:val="18"/>
                <w:szCs w:val="18"/>
              </w:rPr>
              <w:t>PMID: 16453012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RAD51B</w:t>
            </w:r>
          </w:p>
        </w:tc>
        <w:tc>
          <w:tcPr>
            <w:tcW w:w="4182" w:type="pct"/>
            <w:vAlign w:val="center"/>
          </w:tcPr>
          <w:p>
            <w:pPr>
              <w:rPr>
                <w:rFonts w:hAnsi="等线"/>
                <w:color w:val="000000"/>
                <w:sz w:val="18"/>
                <w:szCs w:val="18"/>
              </w:rPr>
            </w:pPr>
            <w:r>
              <w:rPr>
                <w:rFonts w:hint="eastAsia" w:hAnsi="等线"/>
                <w:color w:val="000000"/>
                <w:sz w:val="18"/>
                <w:szCs w:val="18"/>
              </w:rPr>
              <w:t>RAD51B（又称RAD51L1）是RAD51重组酶家族的一员，该家族在同源重组（HR）介导的双链DNA断裂（DSB）修复中发挥作用。RAD51B与同源修复蛋白RAD51相结合，在DSB修复通路的早期阶段发挥作用：切除DSB断裂位点两侧的5'末端DNA链，RAD51聚集在单链突出端，形成核蛋白细丝（PMID: 25833843），然后RAD51促使同源DNA模板的识别配对并启动单链入侵和链置换过程（PMID: 20930833）。电离辐射后RAD51B表达上调（PMID: 9788630），而RAD51B的功能对于形成DNA损伤修复复合物（包括RAD51旁系同源蛋白、XRCC2和XRCC3）是必需的（PMID: 10938124）。除DNA损伤修复途径外，RAD51B还可以通过磷酸化p53，CDK2和cyclinE影响细胞周期的调控，导致G1细胞周期延迟（PMID: 10623463）。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RAD51C</w:t>
            </w:r>
          </w:p>
        </w:tc>
        <w:tc>
          <w:tcPr>
            <w:tcW w:w="4182" w:type="pct"/>
            <w:vAlign w:val="center"/>
          </w:tcPr>
          <w:p>
            <w:pPr>
              <w:rPr>
                <w:rFonts w:hAnsi="等线"/>
                <w:color w:val="000000"/>
                <w:sz w:val="18"/>
                <w:szCs w:val="18"/>
              </w:rPr>
            </w:pPr>
            <w:r>
              <w:rPr>
                <w:rFonts w:hint="eastAsia" w:hAnsi="等线"/>
                <w:color w:val="000000"/>
                <w:sz w:val="18"/>
                <w:szCs w:val="18"/>
              </w:rPr>
              <w:t>RAD51C在人类癌症中很少发生突变。RAD51C（也称为RAD51L2）是RAD51重组酶家族的成员，该家族在同源重组（HR）介导的双链DNA断裂（DSB）修复中起作用。RAD51C与同源修复蛋白RAD51相结合，在DSB修复通路的早期阶段发挥作用：切除DSB断裂位点两侧的5'末端DNA链，RAD51聚集在单链突出端，形成核蛋白细丝（PMID: 25833843），然后RAD51促使同源DNA模板的识别配对并启动单链入侵和链置换过程（PMID: 20930833）。RAD51C是DSB修复复合物BCDX2（包括RAD51B、RAD51C、RAD51D和XRCC2）和CX3（包括XRCC3）的组成部分，它们分别在D</w:t>
            </w:r>
            <w:r>
              <w:rPr>
                <w:rFonts w:hAnsi="等线"/>
                <w:color w:val="000000"/>
                <w:sz w:val="18"/>
                <w:szCs w:val="18"/>
              </w:rPr>
              <w:t>NA</w:t>
            </w:r>
            <w:r>
              <w:rPr>
                <w:rFonts w:hint="eastAsia" w:hAnsi="等线"/>
                <w:color w:val="000000"/>
                <w:sz w:val="18"/>
                <w:szCs w:val="18"/>
              </w:rPr>
              <w:t>损伤稳定和RAD51细丝装配过程中发挥作用（PMID: 23149936）。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RAD51D</w:t>
            </w:r>
          </w:p>
        </w:tc>
        <w:tc>
          <w:tcPr>
            <w:tcW w:w="4182" w:type="pct"/>
            <w:vAlign w:val="center"/>
          </w:tcPr>
          <w:p>
            <w:pPr>
              <w:rPr>
                <w:rFonts w:hAnsi="等线"/>
                <w:color w:val="000000"/>
                <w:sz w:val="18"/>
                <w:szCs w:val="18"/>
              </w:rPr>
            </w:pPr>
            <w:r>
              <w:rPr>
                <w:rFonts w:hint="eastAsia" w:hAnsi="等线"/>
                <w:color w:val="000000"/>
                <w:sz w:val="18"/>
                <w:szCs w:val="18"/>
              </w:rPr>
              <w:t>RAD51D（又称RAD51L3）是RAD51重组酶家族的一员，该家族在同源重组（HR）介导的双链DNA断裂（DSB）修复中发挥作用。RAD51D与同源修复蛋白RAD51相结合，在DSB修复通路的早期阶段起作用：切除DSB断裂位点两侧的5'末端DNA链，RAD51聚集在单链突出端，形成核蛋白细丝（PMID: 25833843）。然后RAD51促使同源DNA模板的识别配对并启动单链入侵和链置换过程（PMID: 20930833）。生化研究表明，RAD51D可与其他三个RAD51旁系同源物（XRCC2，RAD51B和RAD51C）形成复合物（称作BCDX2复合物）(PMID: 16236763)。该复合物在HR早期阶段（即</w:t>
            </w:r>
            <w:r>
              <w:rPr>
                <w:rFonts w:hAnsi="等线"/>
                <w:color w:val="000000"/>
                <w:sz w:val="18"/>
                <w:szCs w:val="18"/>
              </w:rPr>
              <w:t>RAD51被招募到</w:t>
            </w:r>
            <w:r>
              <w:rPr>
                <w:rFonts w:hint="eastAsia" w:hAnsi="等线"/>
                <w:color w:val="000000"/>
                <w:sz w:val="18"/>
                <w:szCs w:val="18"/>
              </w:rPr>
              <w:t>损伤DNA位点</w:t>
            </w:r>
            <w:r>
              <w:rPr>
                <w:rFonts w:hAnsi="等线"/>
                <w:color w:val="000000"/>
                <w:sz w:val="18"/>
                <w:szCs w:val="18"/>
              </w:rPr>
              <w:t>之前</w:t>
            </w:r>
            <w:r>
              <w:rPr>
                <w:rFonts w:hint="eastAsia" w:hAnsi="等线"/>
                <w:color w:val="000000"/>
                <w:sz w:val="18"/>
                <w:szCs w:val="18"/>
              </w:rPr>
              <w:t>）发挥作用（PMID: 21821141）。RAD51D还与DNA结合和复制蛋白（包括SFPQ，NONO，MCM2和MSH2）相互作用（PMID: 19658102），并在端粒维持中发挥作用（PMID: 15109494）。RAD51D缺陷型细胞会发生自发性染色体畸变并表现出G2周期阻滞（PMID: 15781618）。</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RAD54L</w:t>
            </w:r>
          </w:p>
        </w:tc>
        <w:tc>
          <w:tcPr>
            <w:tcW w:w="4182" w:type="pct"/>
            <w:vAlign w:val="center"/>
          </w:tcPr>
          <w:p>
            <w:pPr>
              <w:rPr>
                <w:rFonts w:hAnsi="等线"/>
                <w:color w:val="000000"/>
                <w:sz w:val="18"/>
                <w:szCs w:val="18"/>
              </w:rPr>
            </w:pPr>
            <w:r>
              <w:rPr>
                <w:rFonts w:hint="eastAsia" w:hAnsi="等线"/>
                <w:color w:val="000000"/>
                <w:sz w:val="18"/>
                <w:szCs w:val="18"/>
              </w:rPr>
              <w:t>RAD54L是解旋酶SNF2家族的成员，在同源重组和DNA修复过程中作为染色质重塑蛋白参与修复双链断裂（PMID: 19671661）。RAD54L与同源修复蛋白RAD51结合，使DNA拓扑结构发生改变，导致DNA配对和重组（PMID: 12359723）。RAD54L-RAD51相互作用可导致复制因子复合物运动前的超螺旋状态以及DNA修复期间D环的稳定（PMID: 16818238）。在重组修复起始阶段，RAD54L可保持RAD51与单链和双链DNA的稳定结合（PMID: 12566442）。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RET</w:t>
            </w:r>
          </w:p>
        </w:tc>
        <w:tc>
          <w:tcPr>
            <w:tcW w:w="4182" w:type="pct"/>
            <w:vAlign w:val="center"/>
          </w:tcPr>
          <w:p>
            <w:pPr>
              <w:rPr>
                <w:rFonts w:hAnsi="等线"/>
                <w:color w:val="000000"/>
                <w:sz w:val="18"/>
                <w:szCs w:val="18"/>
              </w:rPr>
            </w:pPr>
            <w:r>
              <w:rPr>
                <w:rFonts w:hint="eastAsia" w:hAnsi="等线"/>
                <w:color w:val="000000"/>
                <w:sz w:val="18"/>
                <w:szCs w:val="18"/>
              </w:rPr>
              <w:t>RET（Rearranged During Transfection）基因编码跨膜受体酪氨酸激酶，优先在神经嵴源性和泌尿生殖细胞上表达（</w:t>
            </w:r>
            <w:r>
              <w:rPr>
                <w:rFonts w:hAnsi="等线"/>
                <w:color w:val="000000"/>
                <w:sz w:val="18"/>
                <w:szCs w:val="18"/>
              </w:rPr>
              <w:t>PMID: 8018563</w:t>
            </w:r>
            <w:r>
              <w:rPr>
                <w:rFonts w:hint="eastAsia" w:hAnsi="等线"/>
                <w:color w:val="000000"/>
                <w:sz w:val="18"/>
                <w:szCs w:val="18"/>
              </w:rPr>
              <w:t>）。RET转录物的选择性剪接可产生三个在C末端分别含51，43和9个氨基酸的亚型，分别被称为RET51，RET43和RET9。RET可以与胶质细胞源性神经营养因子（GDNF）家族（GDNF，NRTN，ARTN和PSPN）相结合；然而，RET不能独立地结合GDNF家族配体（GFLF），它必须与预先绑定到四种GDNF家族受体-a（GFRa）蛋白之一的GFLs结合。该复合物诱导RET的同源二聚化，反式磷酸化和其酪氨酸激酶活性的激活（</w:t>
            </w:r>
            <w:r>
              <w:rPr>
                <w:rFonts w:hAnsi="等线"/>
                <w:color w:val="000000"/>
                <w:sz w:val="18"/>
                <w:szCs w:val="18"/>
              </w:rPr>
              <w:t>PMID: 15982921</w:t>
            </w:r>
            <w:r>
              <w:rPr>
                <w:rFonts w:hint="eastAsia" w:hAnsi="等线"/>
                <w:color w:val="000000"/>
                <w:sz w:val="18"/>
                <w:szCs w:val="18"/>
              </w:rPr>
              <w:t>）。这些磷酸化的残基是多种接头蛋白和效应蛋白的对接位点，可激活Ras/MAPK，PI3K/AKT，JNK，p38和PLCg信号级联反应。RET的致癌性激活突变能以不依赖配体的方式放大这些级联信号，并激活替代信号级联反应，例如STAT3和STAT1，以促进肿瘤发生（</w:t>
            </w:r>
            <w:r>
              <w:rPr>
                <w:rFonts w:hAnsi="等线"/>
                <w:color w:val="000000"/>
                <w:sz w:val="18"/>
                <w:szCs w:val="18"/>
              </w:rPr>
              <w:t>PMID: 19934298</w:t>
            </w:r>
            <w:r>
              <w:rPr>
                <w:rFonts w:hint="eastAsia" w:hAnsi="等线"/>
                <w:color w:val="000000"/>
                <w:sz w:val="18"/>
                <w:szCs w:val="18"/>
              </w:rPr>
              <w:t>;</w:t>
            </w:r>
            <w:r>
              <w:rPr>
                <w:rFonts w:hAnsi="等线"/>
                <w:color w:val="000000"/>
                <w:sz w:val="18"/>
                <w:szCs w:val="18"/>
              </w:rPr>
              <w:t xml:space="preserve"> PMID: 19028457</w:t>
            </w:r>
            <w:r>
              <w:rPr>
                <w:rFonts w:hint="eastAsia" w:hAnsi="等线"/>
                <w:color w:val="000000"/>
                <w:sz w:val="18"/>
                <w:szCs w:val="18"/>
              </w:rPr>
              <w:t>）。除了形成同二聚体之外，Ret也已发现可在MET扩增的肺癌细胞中与MET结合（</w:t>
            </w:r>
            <w:r>
              <w:rPr>
                <w:rFonts w:hAnsi="等线"/>
                <w:color w:val="000000"/>
                <w:sz w:val="18"/>
                <w:szCs w:val="18"/>
              </w:rPr>
              <w:t>PMID: 21847121</w:t>
            </w:r>
            <w:r>
              <w:rPr>
                <w:rFonts w:hint="eastAsia" w:hAnsi="等线"/>
                <w:color w:val="000000"/>
                <w:sz w:val="18"/>
                <w:szCs w:val="18"/>
              </w:rPr>
              <w:t>），并且</w:t>
            </w:r>
            <w:r>
              <w:rPr>
                <w:rFonts w:hAnsi="等线"/>
                <w:color w:val="000000"/>
                <w:sz w:val="18"/>
                <w:szCs w:val="18"/>
              </w:rPr>
              <w:t>IL-6R和ERa的功能性相互作用调节雌激素受体a (Era</w:t>
            </w:r>
            <w:r>
              <w:rPr>
                <w:rFonts w:hint="eastAsia" w:hAnsi="等线"/>
                <w:color w:val="000000"/>
                <w:sz w:val="18"/>
                <w:szCs w:val="18"/>
              </w:rPr>
              <w:t>)</w:t>
            </w:r>
            <w:r>
              <w:rPr>
                <w:rFonts w:hAnsi="等线"/>
                <w:color w:val="000000"/>
                <w:sz w:val="18"/>
                <w:szCs w:val="18"/>
              </w:rPr>
              <w:t>+乳腺癌的肿瘤生长和转移</w:t>
            </w:r>
            <w:r>
              <w:rPr>
                <w:rFonts w:hint="eastAsia" w:hAnsi="等线"/>
                <w:color w:val="000000"/>
                <w:sz w:val="18"/>
                <w:szCs w:val="18"/>
              </w:rPr>
              <w:t>（</w:t>
            </w:r>
            <w:r>
              <w:rPr>
                <w:rFonts w:hAnsi="等线"/>
                <w:color w:val="000000"/>
                <w:sz w:val="18"/>
                <w:szCs w:val="18"/>
              </w:rPr>
              <w:t>PMID: 21251878</w:t>
            </w:r>
            <w:r>
              <w:rPr>
                <w:rFonts w:hint="eastAsia" w:hAnsi="等线"/>
                <w:color w:val="000000"/>
                <w:sz w:val="18"/>
                <w:szCs w:val="18"/>
              </w:rPr>
              <w:t>;</w:t>
            </w:r>
            <w:r>
              <w:rPr>
                <w:rFonts w:hAnsi="等线"/>
                <w:color w:val="000000"/>
                <w:sz w:val="18"/>
                <w:szCs w:val="18"/>
              </w:rPr>
              <w:t xml:space="preserve"> PMID: 23868506</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ROS1</w:t>
            </w:r>
          </w:p>
        </w:tc>
        <w:tc>
          <w:tcPr>
            <w:tcW w:w="4182" w:type="pct"/>
            <w:vAlign w:val="center"/>
          </w:tcPr>
          <w:p>
            <w:pPr>
              <w:rPr>
                <w:rFonts w:hAnsi="等线"/>
                <w:color w:val="000000"/>
                <w:sz w:val="18"/>
                <w:szCs w:val="18"/>
              </w:rPr>
            </w:pPr>
            <w:r>
              <w:rPr>
                <w:rFonts w:hint="eastAsia" w:hAnsi="等线"/>
                <w:color w:val="000000"/>
                <w:sz w:val="18"/>
                <w:szCs w:val="18"/>
              </w:rPr>
              <w:t>c-ROS原癌基因1（ROS1）是禽类肉瘤病毒UR2转化基因v-ros的人类同源基因，编码胰岛素受体亚家族的受体酪氨酸激酶（RTK）。c-ROS是一种孤儿受体酪氨酸激酶，在肺组织中高度表达，其正常生理性配体未知（</w:t>
            </w:r>
            <w:r>
              <w:rPr>
                <w:rFonts w:hAnsi="等线"/>
                <w:color w:val="000000"/>
                <w:sz w:val="18"/>
                <w:szCs w:val="18"/>
              </w:rPr>
              <w:t>PMID: 18778756</w:t>
            </w:r>
            <w:r>
              <w:rPr>
                <w:rFonts w:hint="eastAsia" w:hAnsi="等线"/>
                <w:color w:val="000000"/>
                <w:sz w:val="18"/>
                <w:szCs w:val="18"/>
              </w:rPr>
              <w:t>;</w:t>
            </w:r>
            <w:r>
              <w:rPr>
                <w:rFonts w:hAnsi="等线"/>
                <w:color w:val="000000"/>
                <w:sz w:val="18"/>
                <w:szCs w:val="18"/>
              </w:rPr>
              <w:t xml:space="preserve"> PMID: 22500682</w:t>
            </w:r>
            <w:r>
              <w:rPr>
                <w:rFonts w:hint="eastAsia" w:hAnsi="等线"/>
                <w:color w:val="000000"/>
                <w:sz w:val="18"/>
                <w:szCs w:val="18"/>
              </w:rPr>
              <w:t>）。然而，c-ROS与间变性淋巴瘤激酶（ALK）进化相关，其信号可促进PLCγ，MAPK和PI3K信号传导，并影响细胞增殖和细胞间相互作用（</w:t>
            </w:r>
            <w:r>
              <w:rPr>
                <w:rFonts w:hAnsi="等线"/>
                <w:color w:val="000000"/>
                <w:sz w:val="18"/>
                <w:szCs w:val="18"/>
              </w:rPr>
              <w:t>PMID: 22500682</w:t>
            </w:r>
            <w:r>
              <w:rPr>
                <w:rFonts w:hint="eastAsia" w:hAnsi="等线"/>
                <w:color w:val="000000"/>
                <w:sz w:val="18"/>
                <w:szCs w:val="18"/>
              </w:rPr>
              <w:t>;</w:t>
            </w:r>
            <w:r>
              <w:rPr>
                <w:rFonts w:hAnsi="等线"/>
                <w:color w:val="FF0000"/>
                <w:sz w:val="18"/>
                <w:szCs w:val="18"/>
              </w:rPr>
              <w:t xml:space="preserve"> </w:t>
            </w:r>
            <w:r>
              <w:rPr>
                <w:rFonts w:hAnsi="等线"/>
                <w:sz w:val="18"/>
                <w:szCs w:val="18"/>
              </w:rPr>
              <w:t>PMID: 8999820</w:t>
            </w:r>
            <w:r>
              <w:rPr>
                <w:rFonts w:hint="eastAsia" w:hAnsi="等线"/>
                <w:color w:val="000000"/>
                <w:sz w:val="18"/>
                <w:szCs w:val="18"/>
              </w:rPr>
              <w:t>）。c-ROS的前1861个N-末端密码子构成一个非常大的胞外结构域，而c-ROS的C-末端结构域的464个残基构成细胞质结构域（</w:t>
            </w:r>
            <w:r>
              <w:rPr>
                <w:rFonts w:hAnsi="等线"/>
                <w:color w:val="000000"/>
                <w:sz w:val="18"/>
                <w:szCs w:val="18"/>
              </w:rPr>
              <w:t>PMID: 2352949</w:t>
            </w:r>
            <w:r>
              <w:rPr>
                <w:rFonts w:hint="eastAsia" w:hAnsi="等线"/>
                <w:color w:val="000000"/>
                <w:sz w:val="18"/>
                <w:szCs w:val="18"/>
              </w:rPr>
              <w:t>;</w:t>
            </w:r>
            <w:r>
              <w:rPr>
                <w:rFonts w:hAnsi="等线"/>
                <w:color w:val="000000"/>
                <w:sz w:val="18"/>
                <w:szCs w:val="18"/>
              </w:rPr>
              <w:t xml:space="preserve"> PMID: 22500682</w:t>
            </w:r>
            <w:r>
              <w:rPr>
                <w:rFonts w:hint="eastAsia" w:hAnsi="等线"/>
                <w:color w:val="000000"/>
                <w:sz w:val="18"/>
                <w:szCs w:val="18"/>
              </w:rPr>
              <w:t>）。c-ROS被确认为非小细胞肺癌（NSCLC）和胆管癌的致癌基因，c-ROS的细胞质激酶结构域与其他N末端伴侣基因融合（</w:t>
            </w:r>
            <w:r>
              <w:rPr>
                <w:rFonts w:hAnsi="等线"/>
                <w:color w:val="000000"/>
                <w:sz w:val="18"/>
                <w:szCs w:val="18"/>
              </w:rPr>
              <w:t>PMID: 22500682</w:t>
            </w:r>
            <w:r>
              <w:rPr>
                <w:rFonts w:hint="eastAsia" w:hAnsi="等线"/>
                <w:color w:val="000000"/>
                <w:sz w:val="18"/>
                <w:szCs w:val="18"/>
              </w:rPr>
              <w:t>）。虽然许多下游信号蛋白已被证明与</w:t>
            </w:r>
            <w:r>
              <w:rPr>
                <w:rFonts w:hAnsi="等线"/>
                <w:color w:val="000000"/>
                <w:sz w:val="18"/>
                <w:szCs w:val="18"/>
              </w:rPr>
              <w:t>c-ROS相互作用，但</w:t>
            </w:r>
            <w:r>
              <w:rPr>
                <w:rFonts w:hint="eastAsia" w:hAnsi="等线"/>
                <w:color w:val="000000"/>
                <w:sz w:val="18"/>
                <w:szCs w:val="18"/>
              </w:rPr>
              <w:t>ROS1基因融合的转变主要表现为</w:t>
            </w:r>
            <w:r>
              <w:rPr>
                <w:rFonts w:hAnsi="等线"/>
                <w:color w:val="000000"/>
                <w:sz w:val="18"/>
                <w:szCs w:val="18"/>
              </w:rPr>
              <w:t>细胞骨架蛋白的磷酸化和PI3K通路的激活</w:t>
            </w:r>
            <w:r>
              <w:rPr>
                <w:rFonts w:hint="eastAsia" w:hAnsi="等线"/>
                <w:color w:val="000000"/>
                <w:sz w:val="18"/>
                <w:szCs w:val="18"/>
              </w:rPr>
              <w:t>（</w:t>
            </w:r>
            <w:r>
              <w:rPr>
                <w:rFonts w:hAnsi="等线"/>
                <w:color w:val="000000"/>
                <w:sz w:val="18"/>
                <w:szCs w:val="18"/>
              </w:rPr>
              <w:t>PMID: 8999820</w:t>
            </w:r>
            <w:r>
              <w:rPr>
                <w:rFonts w:hint="eastAsia" w:hAnsi="等线"/>
                <w:color w:val="000000"/>
                <w:sz w:val="18"/>
                <w:szCs w:val="18"/>
              </w:rPr>
              <w:t>;</w:t>
            </w:r>
            <w:r>
              <w:rPr>
                <w:rFonts w:hAnsi="等线"/>
                <w:color w:val="000000"/>
                <w:sz w:val="18"/>
                <w:szCs w:val="18"/>
              </w:rPr>
              <w:t xml:space="preserve"> PMID: 11094073</w:t>
            </w:r>
            <w:r>
              <w:rPr>
                <w:rFonts w:hint="eastAsia" w:hAnsi="等线"/>
                <w:color w:val="000000"/>
                <w:sz w:val="18"/>
                <w:szCs w:val="18"/>
              </w:rPr>
              <w:t>;</w:t>
            </w:r>
            <w:r>
              <w:rPr>
                <w:rFonts w:hAnsi="等线"/>
                <w:color w:val="000000"/>
                <w:sz w:val="18"/>
                <w:szCs w:val="18"/>
              </w:rPr>
              <w:t xml:space="preserve"> PMID: 11799110</w:t>
            </w:r>
            <w:r>
              <w:rPr>
                <w:rFonts w:hint="eastAsia" w:hAnsi="等线"/>
                <w:color w:val="000000"/>
                <w:sz w:val="18"/>
                <w:szCs w:val="18"/>
              </w:rPr>
              <w:t>;</w:t>
            </w:r>
            <w:r>
              <w:rPr>
                <w:rFonts w:hAnsi="等线"/>
                <w:color w:val="000000"/>
                <w:sz w:val="18"/>
                <w:szCs w:val="18"/>
              </w:rPr>
              <w:t xml:space="preserve"> PMID: 12646574</w:t>
            </w:r>
            <w:r>
              <w:rPr>
                <w:rFonts w:hint="eastAsia" w:hAnsi="等线"/>
                <w:color w:val="000000"/>
                <w:sz w:val="18"/>
                <w:szCs w:val="18"/>
              </w:rPr>
              <w:t>;</w:t>
            </w:r>
            <w:r>
              <w:rPr>
                <w:sz w:val="18"/>
                <w:szCs w:val="18"/>
              </w:rPr>
              <w:t xml:space="preserve"> </w:t>
            </w:r>
            <w:r>
              <w:rPr>
                <w:rFonts w:hAnsi="等线"/>
                <w:color w:val="000000"/>
                <w:sz w:val="18"/>
                <w:szCs w:val="18"/>
              </w:rPr>
              <w:t>PMID: 22500682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TSC1</w:t>
            </w:r>
          </w:p>
        </w:tc>
        <w:tc>
          <w:tcPr>
            <w:tcW w:w="4182" w:type="pct"/>
            <w:vAlign w:val="center"/>
          </w:tcPr>
          <w:p>
            <w:pPr>
              <w:rPr>
                <w:rFonts w:hAnsi="等线"/>
                <w:color w:val="000000"/>
                <w:sz w:val="18"/>
                <w:szCs w:val="18"/>
              </w:rPr>
            </w:pPr>
            <w:r>
              <w:rPr>
                <w:rFonts w:hint="eastAsia" w:hAnsi="等线"/>
                <w:color w:val="000000"/>
                <w:sz w:val="18"/>
                <w:szCs w:val="18"/>
              </w:rPr>
              <w:t>TSC1（又称错构瘤蛋白）是mTOR促癌信号通路的关键负调控因子（PMID: 10205261）。mTOR信号通路在促进细胞生长和调节蛋白质合成的过程中起着核心作用。</w:t>
            </w:r>
            <w:r>
              <w:rPr>
                <w:rFonts w:hAnsi="等线"/>
                <w:color w:val="000000"/>
                <w:sz w:val="18"/>
                <w:szCs w:val="18"/>
              </w:rPr>
              <w:t>TSC1作为支架与TBC1D7和TSC2形成异聚体复合物</w:t>
            </w:r>
            <w:r>
              <w:rPr>
                <w:rFonts w:hint="eastAsia" w:hAnsi="等线"/>
                <w:color w:val="000000"/>
                <w:sz w:val="18"/>
                <w:szCs w:val="18"/>
              </w:rPr>
              <w:t>，构成的TSC复合物可作为GTP酶活化蛋白（GAP）发挥作用并抑制RHEB蛋白活性（PMID:24714658），RHEB是一种GTP酶，可作为小分子开关，当与GTP结合时激活下游mTORC1信号（PMID:24863881）。TSC1和TSC2可被多种激酶磷酸化（如AKT，RSK1，ERK，AMPK和GSK3），从而通过多种不同的信号通路对mTOR通路进行调控抑制（PMID:16959574）。</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TSC2</w:t>
            </w:r>
          </w:p>
        </w:tc>
        <w:tc>
          <w:tcPr>
            <w:tcW w:w="4182" w:type="pct"/>
            <w:vAlign w:val="center"/>
          </w:tcPr>
          <w:p>
            <w:pPr>
              <w:rPr>
                <w:rFonts w:hAnsi="等线"/>
                <w:color w:val="000000"/>
                <w:sz w:val="18"/>
                <w:szCs w:val="18"/>
              </w:rPr>
            </w:pPr>
            <w:r>
              <w:rPr>
                <w:rFonts w:hint="eastAsia" w:hAnsi="等线"/>
                <w:color w:val="000000"/>
                <w:sz w:val="18"/>
                <w:szCs w:val="18"/>
              </w:rPr>
              <w:t>TSC2是mTOR促癌信号通路的关键负调控因子（PMID: 10205261）。mTOR信号通路在促进细胞生长和调节蛋白质合成的过程中发挥重要作用。</w:t>
            </w:r>
            <w:r>
              <w:rPr>
                <w:rFonts w:hAnsi="等线"/>
                <w:color w:val="000000"/>
                <w:sz w:val="18"/>
                <w:szCs w:val="18"/>
              </w:rPr>
              <w:t>TSC2作为支架与TBC1D7和TSC1形成异聚体复合物</w:t>
            </w:r>
            <w:r>
              <w:rPr>
                <w:rFonts w:hint="eastAsia" w:hAnsi="等线"/>
                <w:color w:val="000000"/>
                <w:sz w:val="18"/>
                <w:szCs w:val="18"/>
              </w:rPr>
              <w:t>，构成的TSC复合物可作为GTP酶活化蛋白发挥作用并抑制RHEB蛋白活性（PMID:24714658），RHEB是一种GTP酶，可作为小分子开关，当与GTP结合时激活下游mTORC1信号（PMID:24863881）。TSC1和TSC2可被多种激酶磷酸化（如AKT，RSK1，ERK，AMPK和GSK3）从而通过多种不同的信号通路对mTOR通路进行抑制（PMID:16959574）。</w:t>
            </w:r>
          </w:p>
        </w:tc>
      </w:tr>
    </w:tbl>
    <w:p>
      <w:r>
        <w:br w:type="page"/>
      </w:r>
    </w:p>
    <w:p>
      <w:pPr>
        <w:spacing w:before="340" w:line="360" w:lineRule="auto"/>
        <w:ind w:firstLine="600" w:firstLineChars="200"/>
        <w:jc w:val="left"/>
        <w:outlineLvl w:val="1"/>
        <w:rPr>
          <w:rFonts w:hint="eastAsia" w:hAnsi="等线" w:cs="Arial"/>
          <w:b/>
          <w:bCs/>
          <w:color w:val="00B0F0"/>
          <w:sz w:val="30"/>
          <w:szCs w:val="30"/>
        </w:rPr>
      </w:pPr>
      <w:bookmarkStart w:id="98" w:name="肺癌靶向药物介绍"/>
      <w:bookmarkEnd w:id="98"/>
      <w:bookmarkStart w:id="99" w:name="_Toc11747"/>
      <w:r>
        <w:rPr>
          <w:rFonts w:hint="default" w:hAnsi="等线" w:cs="Arial"/>
          <w:b/>
          <w:bCs/>
          <w:color w:val="00B0F0"/>
          <w:sz w:val="30"/>
          <w:szCs w:val="30"/>
          <w:lang w:val="en-US"/>
        </w:rPr>
        <w:drawing>
          <wp:anchor distT="0" distB="0" distL="114300" distR="114300" simplePos="0" relativeHeight="251701248" behindDoc="0" locked="0" layoutInCell="1" allowOverlap="1">
            <wp:simplePos x="0" y="0"/>
            <wp:positionH relativeFrom="column">
              <wp:posOffset>-9525</wp:posOffset>
            </wp:positionH>
            <wp:positionV relativeFrom="paragraph">
              <wp:posOffset>52070</wp:posOffset>
            </wp:positionV>
            <wp:extent cx="295275" cy="297180"/>
            <wp:effectExtent l="0" t="0" r="9525" b="7620"/>
            <wp:wrapNone/>
            <wp:docPr id="1049" name="图片 79"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lang w:val="en-US" w:eastAsia="zh-CN"/>
        </w:rPr>
        <w:t>结直肠癌</w:t>
      </w:r>
      <w:r>
        <w:rPr>
          <w:rFonts w:hint="eastAsia" w:hAnsi="等线" w:cs="Arial"/>
          <w:b/>
          <w:bCs/>
          <w:color w:val="00B0F0"/>
          <w:sz w:val="30"/>
          <w:szCs w:val="30"/>
        </w:rPr>
        <w:t>靶向药物介绍</w:t>
      </w:r>
      <w:bookmarkEnd w:id="99"/>
      <w:bookmarkStart w:id="100" w:name="靶向药物介绍"/>
      <w:bookmarkEnd w:id="100"/>
    </w:p>
    <w:tbl>
      <w:tblPr>
        <w:tblStyle w:val="21"/>
        <w:tblW w:w="4982" w:type="pct"/>
        <w:tblInd w:w="0" w:type="dxa"/>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Layout w:type="autofit"/>
        <w:tblCellMar>
          <w:top w:w="0" w:type="dxa"/>
          <w:left w:w="108" w:type="dxa"/>
          <w:bottom w:w="0" w:type="dxa"/>
          <w:right w:w="108" w:type="dxa"/>
        </w:tblCellMar>
      </w:tblPr>
      <w:tblGrid>
        <w:gridCol w:w="1925"/>
        <w:gridCol w:w="2"/>
        <w:gridCol w:w="1554"/>
        <w:gridCol w:w="2"/>
        <w:gridCol w:w="6335"/>
        <w:gridCol w:w="2"/>
      </w:tblGrid>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blHeader/>
        </w:trPr>
        <w:tc>
          <w:tcPr>
            <w:tcW w:w="980" w:type="pct"/>
            <w:tcBorders>
              <w:tl2br w:val="nil"/>
              <w:tr2bl w:val="nil"/>
            </w:tcBorders>
            <w:shd w:val="clear" w:color="auto" w:fill="00B0F0"/>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hAnsi="等线"/>
                <w:b/>
                <w:bCs/>
                <w:color w:val="FFFFFF"/>
                <w:sz w:val="24"/>
                <w:szCs w:val="24"/>
                <w:lang w:val="en-US" w:eastAsia="zh-CN"/>
              </w:rPr>
            </w:pPr>
            <w:r>
              <w:rPr>
                <w:rFonts w:hint="eastAsia" w:hAnsi="等线"/>
                <w:b/>
                <w:bCs/>
                <w:color w:val="FFFFFF"/>
                <w:sz w:val="24"/>
                <w:szCs w:val="24"/>
                <w:lang w:val="en-US" w:eastAsia="zh-CN"/>
              </w:rPr>
              <w:t>药物名称/中文名</w:t>
            </w:r>
          </w:p>
        </w:tc>
        <w:tc>
          <w:tcPr>
            <w:tcW w:w="792" w:type="pct"/>
            <w:gridSpan w:val="2"/>
            <w:tcBorders>
              <w:tl2br w:val="nil"/>
              <w:tr2bl w:val="nil"/>
            </w:tcBorders>
            <w:shd w:val="clear" w:color="auto" w:fill="00B0F0"/>
            <w:vAlign w:val="center"/>
          </w:tcPr>
          <w:p>
            <w:pPr>
              <w:jc w:val="center"/>
              <w:rPr>
                <w:rFonts w:hint="eastAsia" w:hAnsi="等线"/>
                <w:b/>
                <w:bCs/>
                <w:color w:val="FFFFFF"/>
                <w:sz w:val="24"/>
                <w:szCs w:val="24"/>
                <w:lang w:val="en-US" w:eastAsia="zh-CN"/>
              </w:rPr>
            </w:pPr>
            <w:r>
              <w:rPr>
                <w:rFonts w:hint="eastAsia" w:hAnsi="等线"/>
                <w:b/>
                <w:bCs/>
                <w:color w:val="FFFFFF"/>
                <w:sz w:val="24"/>
                <w:szCs w:val="24"/>
                <w:lang w:val="en-US" w:eastAsia="zh-CN"/>
              </w:rPr>
              <w:t>适应症</w:t>
            </w:r>
          </w:p>
        </w:tc>
        <w:tc>
          <w:tcPr>
            <w:tcW w:w="3226" w:type="pct"/>
            <w:gridSpan w:val="2"/>
            <w:tcBorders>
              <w:tl2br w:val="nil"/>
              <w:tr2bl w:val="nil"/>
            </w:tcBorders>
            <w:shd w:val="clear" w:color="auto" w:fill="00B0F0"/>
            <w:vAlign w:val="center"/>
          </w:tcPr>
          <w:p>
            <w:pPr>
              <w:jc w:val="center"/>
              <w:rPr>
                <w:rFonts w:hint="eastAsia" w:hAnsi="等线"/>
                <w:b/>
                <w:bCs/>
                <w:color w:val="FFFFFF"/>
                <w:sz w:val="24"/>
                <w:szCs w:val="24"/>
                <w:lang w:val="en-US" w:eastAsia="zh-CN"/>
              </w:rPr>
            </w:pPr>
            <w:r>
              <w:rPr>
                <w:rFonts w:hint="eastAsia" w:hAnsi="等线"/>
                <w:b/>
                <w:bCs/>
                <w:color w:val="FFFFFF"/>
                <w:sz w:val="24"/>
                <w:szCs w:val="24"/>
                <w:lang w:val="en-US" w:eastAsia="zh-CN"/>
              </w:rPr>
              <w:t>药物小结</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jc w:val="center"/>
              <w:rPr>
                <w:rFonts w:hAnsi="等线"/>
                <w:color w:val="000000"/>
                <w:sz w:val="18"/>
                <w:szCs w:val="18"/>
              </w:rPr>
            </w:pPr>
            <w:r>
              <w:rPr>
                <w:rFonts w:hint="eastAsia" w:hAnsi="等线"/>
                <w:color w:val="000000"/>
                <w:sz w:val="18"/>
                <w:szCs w:val="18"/>
              </w:rPr>
              <w:t>Bevacizumab</w:t>
            </w:r>
            <w:r>
              <w:rPr>
                <w:rFonts w:hint="eastAsia" w:hAnsi="等线"/>
                <w:color w:val="000000"/>
                <w:sz w:val="18"/>
                <w:szCs w:val="18"/>
              </w:rPr>
              <w:br w:type="textWrapping"/>
            </w:r>
            <w:r>
              <w:rPr>
                <w:rFonts w:hint="eastAsia" w:hAnsi="等线"/>
                <w:color w:val="000000"/>
                <w:sz w:val="18"/>
                <w:szCs w:val="18"/>
              </w:rPr>
              <w:t>贝伐珠单抗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结直肠癌、非小细胞肺癌、胶质母细胞瘤、肾癌、宫颈癌、上皮性卵巢癌、输卵管癌、原发性腹膜癌、肝癌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Avastin是一种血管内皮生长因子抑制剂，其适应症为：1.与基于氟尿嘧啶的静脉化疗联合用于转移性结直肠癌的一线或二线治疗。2.与基于氟嘧啶-伊立替康或氟嘧啶-奥沙利铂的化疗联合用于含Avastin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Avastin单药，用于治疗首次手术切除后的III期或IV期疾病。(2)与紫杉醇、聚乙二醇脂质体多柔比星或拓扑替康联合，用于治疗既往接受不超过2个化疗方案的铂耐复发性疾病。(3)与卡铂、紫杉醇或卡铂、吉西他滨联合，然后使用Avastin单药，用于治疗铂敏感复发性疾病。8.与Atezolizumab联合用于治疗既往未接受过全身治疗的不可切除或转移性肝细胞癌(HCC)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Bevacizumab-bvzr</w:t>
            </w:r>
            <w:r>
              <w:rPr>
                <w:rFonts w:hint="eastAsia" w:hAnsi="等线"/>
                <w:color w:val="000000"/>
                <w:sz w:val="18"/>
                <w:szCs w:val="18"/>
              </w:rPr>
              <w:br w:type="textWrapping"/>
            </w:r>
            <w:r>
              <w:rPr>
                <w:rFonts w:hint="eastAsia" w:hAnsi="等线"/>
                <w:color w:val="000000"/>
                <w:sz w:val="18"/>
                <w:szCs w:val="18"/>
              </w:rPr>
              <w:t>贝伐珠单抗-bvzr</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ZIRABEV是一种血管内皮生长因子抑制剂，其适应症为：1.与基于氟尿嘧啶的静脉化疗联合用于转移性结直肠癌的一线或二线治疗。2.与基于氟嘧啶-伊立替康或氟嘧啶-奥沙利铂的化疗联合用于含ZIRABEV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ZIRABEV单药，用于治疗首次手术切除后的III期或IV期疾病。(2)与紫杉醇、聚乙二醇脂质体多柔比星或拓扑替康联合，用于治疗既往接受不超过2个化疗方案的铂耐复发性疾病。(3)与卡铂、紫杉醇或卡铂、吉西他滨联合，然后使用ZIRABEV单药，用于治疗铂敏感复发性疾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Bevacizumab-awwb贝伐珠单抗-awwb</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MVASI是一种血管内皮生长因子抑制剂，其适应症为：1.与基于氟尿嘧啶的静脉化疗联合用于转移性结直肠癌的一线或二线治疗。2.与基于氟嘧啶-伊立替康或氟嘧啶-奥沙利铂的化疗联合用于含MVASI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MVASI单药，用于治疗首次手术切除后的III期或IV期疾病。(2)与紫杉醇、聚乙二醇脂质体多柔比星或拓扑替康联合，用于治疗既往接受不超过2个化疗方案的铂耐复发性疾病。(3)与卡铂、紫杉醇或卡铂、吉西他滨联合，然后使用MVASI单药，用于治疗铂敏感复发性疾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Cetuximab</w:t>
            </w:r>
            <w:r>
              <w:rPr>
                <w:rFonts w:hint="eastAsia" w:hAnsi="等线"/>
                <w:color w:val="000000"/>
                <w:sz w:val="18"/>
                <w:szCs w:val="18"/>
              </w:rPr>
              <w:br w:type="textWrapping"/>
            </w:r>
            <w:r>
              <w:rPr>
                <w:rFonts w:hint="eastAsia" w:hAnsi="等线"/>
                <w:color w:val="000000"/>
                <w:sz w:val="18"/>
                <w:szCs w:val="18"/>
              </w:rPr>
              <w:t>西妥昔单抗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头颈癌、结直肠癌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ERBITUX是一种表皮生长因子受体(EGFR)拮抗剂，其适应症包括：1.联合放疗用于治疗局部或区域晚期头颈鳞癌。2.联合铂类和氟尿嘧啶用于治疗头颈部复发性局部疾病或转移性头颈鳞癌。3.铂类治疗后进展的复发性或转移性头颈鳞癌。4.联合FOLFIRI用于K-Ras野生型、EGFR表达阳性的转移性结直肠癌的一线治疗。5.联合伊立替康用于治疗对基于伊立替康化疗耐药的K-Ras野生型、EGFR表达阳性的转移性结直肠癌患者。6.单药用于治疗对奥沙利铂和伊立替康为基础的化疗失败或对伊立替康不耐受的K-Ras野生型、EGFR表达阳性的转移性结直肠癌患者。7.联合康奈非尼用于先前治疗后携带BRAF V600E突变的转移性结直肠癌(CRC)成人患者。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表皮生长因子受体（EGFR，HER1，c-ErbB-1）是一种跨膜糖蛋白，是I型受体酪氨酸激酶亚家族（包括EGFR，HER2，HER3和HER4）的成员。EGFR在包括皮肤和毛囊在内的许多正常上皮组织中组成性表达。EGFR的表达在许多人类肿瘤（包括头颈部、结肠和直肠癌）中也能检测到。西妥昔单抗(Cetuximab)可以特异性地与正常细胞和肿瘤细胞表面的EGFR结合,竞争性抑制EGFR与表皮生长因子（EGF）或其他配体（如转化生长因子-α）的结合。体外试验和体内动物研究表明，西妥昔单抗(Cetuximab)与EGFR的结合可阻断受体相关激酶的磷酸化和激活，从而抑制细胞生长，诱导细胞凋亡，降低基质金属蛋白酶和血管内皮生长因子的生成。EGFR信号转导可导致野生型Ras蛋白的激活，但在有Ras体细胞激活突变的细胞中，Ras突变蛋白处于持续激活状态，且独立于EGFR的调控。在体外，西妥昔单抗(Cetuximab)可介导针对某些类型的人类肿瘤的抗体依赖性细胞介导的细胞毒作用（ADCC）。体外试验和体内动物研究表明，西妥昔单抗(Cetuximab)可抑制表达EGFR肿瘤细胞的生长和存活。在缺乏EGFR表达的人肿瘤异种移植模型中未观察到西妥昔单抗(Cetuximab)的抗肿瘤作用。在小鼠人源肿瘤异种移植模型中，放疗或伊立替康(Irinotecan)加用西妥昔单抗(Cetuximab)后，抗肿瘤效果比单纯放疗或化疗更好。</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1" w:type="pct"/>
            <w:gridSpan w:val="2"/>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Ramucirumab</w:t>
            </w:r>
            <w:r>
              <w:rPr>
                <w:rFonts w:hint="eastAsia" w:hAnsi="等线"/>
                <w:color w:val="000000"/>
                <w:sz w:val="18"/>
                <w:szCs w:val="18"/>
              </w:rPr>
              <w:br w:type="textWrapping"/>
            </w:r>
            <w:r>
              <w:rPr>
                <w:rFonts w:hint="eastAsia" w:hAnsi="等线"/>
                <w:color w:val="000000"/>
                <w:sz w:val="18"/>
                <w:szCs w:val="18"/>
              </w:rPr>
              <w:t>雷莫卢单抗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胃癌、食管胃交界处腺癌、非小细胞肺癌、结直肠癌、肝细胞癌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CYRAMZA是一种人血管内皮生长因子受体2(VEGFR2)拮抗剂，其适应症为：1.单药或联合紫杉醇用于治疗既往接受含氟嘧啶或铂化疗期间或之后疾病进展的晚期或转移性胃癌或食管胃交界处腺癌。2.联合厄洛替尼用于一线治疗携带表皮生长因子受体(EGFR)19号外显子缺失或21号外显子(L858R)突变的转移性非小细胞肺癌。3.联合多西他赛用于治疗铂类化疗期间或之后疾病进展的转移性非小细胞肺癌。4.联合FOLFIRI方案用于治疗既往接受贝伐单抗、奥沙利铂和氟嘧啶治疗期间或之后疾病进展的转移性结直肠癌。5.单药用于治疗甲胎蛋白≥400 ng/mL且既往接受过索拉非尼治疗的肝细胞癌患者。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雷莫卢单抗(Ramucirumab)是一种VEGFR2拮抗剂，能特异性结合VEGFR2并阻断VEGFR配体VEGF-A、VEGF-C、VEGF-D的结合。因此，雷莫卢单抗(Ramucirumab)可以抑制配体刺激的VEGFR2激活，进而抑制配体诱导的人内皮细胞增殖和迁移。雷莫卢单抗(Ramucirumab)在体内动物模型中可以抑制血管的生成。</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1" w:type="pct"/>
            <w:gridSpan w:val="2"/>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Panitumumab</w:t>
            </w:r>
          </w:p>
          <w:p>
            <w:pPr>
              <w:spacing w:before="60" w:after="60"/>
              <w:jc w:val="center"/>
              <w:rPr>
                <w:rFonts w:hAnsi="等线"/>
                <w:color w:val="000000"/>
                <w:sz w:val="18"/>
                <w:szCs w:val="18"/>
              </w:rPr>
            </w:pPr>
            <w:r>
              <w:rPr>
                <w:rFonts w:hint="eastAsia" w:hAnsi="等线"/>
                <w:color w:val="000000"/>
                <w:sz w:val="18"/>
                <w:szCs w:val="18"/>
              </w:rPr>
              <w:t>帕尼单抗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Vectibix是一种表皮生长因子受体(EGFR)拮抗剂，其适应症为：1.联合FOLFOX用于RAS野生型(KRAS和NRAS均为野生型)转移性结直肠癌(mCRC)的一线治疗。2.单药用于治疗既往接受含氟嘧啶类、奥沙利铂和伊立替康化疗后疾病进展的RAS野生型mCR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跨膜糖蛋白EGFR是I型受体酪氨酸激酶（包括EGFR，HER2，HER3和HER4）亚家族的成员。EGFR在包括皮肤和毛囊在内的正常上皮组织中组成性表达。某些人类癌症（包括结肠癌和直肠癌）中EGFR过表达。EGFR与其正常配体（例如EGF、转化生长因子-α）的相互作用导致一系列胞内蛋白的磷酸化和激活，继而调节与细胞生长、存活、运动性以及增殖相关基因的转录。KRAS（Kirsten大鼠肉瘤病毒癌基因同源物）和NRAS（神经母细胞瘤RAS病毒癌基因同源物）是RAS癌基因家族中高度相关的成员。通过EGFR的信号转导可导致野生型KRAS和NRAS蛋白激活。然而，在具有RAS体细胞激活突变的细胞中，RAS突变蛋白处于持续激活状态，不依赖EGFR的调控。帕尼单抗（Panitumumab）可以与正常细胞和肿瘤细胞上的EGFR特异性结合，并竞争性抑制EGFR配体的结合。非临床研究表明，帕尼单抗（Panitumumab）与EGFR结合可阻止配体诱导的受体自磷酸化和受体相关激酶的激活，从而抑制细胞生长、诱导细胞凋亡、减少促炎细胞因子和血管生长因子的产生以及EGFR的内在化。体外试验和体内动物研究表明，帕尼单抗（Panitumumab）可以抑制某些表达EGFR人类肿瘤细胞系的生长和存活。</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Encorafenib</w:t>
            </w:r>
            <w:r>
              <w:rPr>
                <w:rFonts w:hint="eastAsia" w:hAnsi="等线"/>
                <w:color w:val="000000"/>
                <w:sz w:val="18"/>
                <w:szCs w:val="18"/>
              </w:rPr>
              <w:br w:type="textWrapping"/>
            </w:r>
            <w:r>
              <w:rPr>
                <w:rFonts w:hint="eastAsia" w:hAnsi="等线"/>
                <w:color w:val="000000"/>
                <w:sz w:val="18"/>
                <w:szCs w:val="18"/>
              </w:rPr>
              <w:t>康奈非尼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黑色素瘤、结直肠癌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BRAFTOVI是一种激酶抑制剂，其适应症为：1.联合贝美替尼用于治疗BRAF V600E或V600K突变的不可切除性或转移性黑色素瘤。2.联合西妥昔单抗用于BRAF V600E突变的转移性结直肠癌(CRC)成人患者的二线治疗。</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康奈非尼（Enasidenib）是异柠檬酸脱氢酶2（IDH2）酶的小分子抑制剂。 在体外康奈非尼（Enasidenib）靶向结合IDH2突变R140Q、R172S和R172K的能力比野生型酶高约40倍。 康奈非尼（Enasidenib）对IDH2突变酶的抑制导致2-羟基戊二酸（2-HG）水平降低，可在体外试验和IDH2突变AML的小鼠异种移植模型中诱导髓样分化。 在携带IDH2突变AML患者的血液样本中，康奈非尼（Enasidenib）可降低2-HG水平，减少原始细胞（blast）计数，并增加成熟髓样细胞的百分比。</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Fruquintinib</w:t>
            </w:r>
          </w:p>
          <w:p>
            <w:pPr>
              <w:spacing w:before="60" w:after="60"/>
              <w:jc w:val="center"/>
              <w:rPr>
                <w:rFonts w:hAnsi="等线"/>
                <w:color w:val="000000"/>
                <w:sz w:val="18"/>
                <w:szCs w:val="18"/>
              </w:rPr>
            </w:pPr>
            <w:r>
              <w:rPr>
                <w:rFonts w:hint="eastAsia" w:hAnsi="等线"/>
                <w:color w:val="000000"/>
                <w:sz w:val="18"/>
                <w:szCs w:val="18"/>
              </w:rPr>
              <w:t>呋喹替尼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呋喹替尼是具有高度选择性的肿瘤血管生成抑制剂，适用于既往接受过氟尿嘧啶类、奥沙利铂和伊立替康为基础的化疗，以及既往接受过或不适合接受抗血管内皮生长因子(VEGF)治疗、抗表皮生长因子受体(EGFR)治疗(RAS野生型)的转移性结直肠癌(mCRC)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呋喹替尼是一具有高度选择性的肿瘤血管生成抑制剂，其主要作用靶点是VEGFR激酶家族VEGFR1，2及3。呋喹替尼在分子水平可抑制VEGFR激酶的活性；在细胞水平上可抑制VEGFR2/3的磷酸化，抑制内皮细胞的增殖及管腔形成；在组织水平上，呋喹替尼可明显抑制鸡胚绒毛尿囊膜模型新生微血管的形成；在整体动物水平上，呋喹替尼口服后可抑制VEGFR2/3磷酸化，抑制肿瘤血管生成，从而抑制肿瘤生长。在整体动物上，呋喹替尼采用一日一次给药，对结直肠癌以及其它多种类型肿瘤模型的生长均显示强效且剂量依赖性的抑制效应，在敏感模型上发现肿瘤缩小和消退。</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Regorafenib</w:t>
            </w:r>
          </w:p>
          <w:p>
            <w:pPr>
              <w:spacing w:before="60" w:after="60"/>
              <w:jc w:val="center"/>
              <w:rPr>
                <w:rFonts w:hAnsi="等线"/>
                <w:color w:val="000000"/>
                <w:sz w:val="18"/>
                <w:szCs w:val="18"/>
              </w:rPr>
            </w:pPr>
            <w:r>
              <w:rPr>
                <w:rFonts w:hint="eastAsia" w:hAnsi="等线"/>
                <w:color w:val="000000"/>
                <w:sz w:val="18"/>
                <w:szCs w:val="18"/>
              </w:rPr>
              <w:t>瑞戈非尼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结直肠癌、胃肠道间质瘤、肝细胞癌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TIVARGA是一种激酶抑制剂，其适应症为：1.既往接受过氟嘧啶、奥沙利铂和伊立替康为基础化疗、抗VEGF治疗、以及抗EGFR治疗(如果是RAS野生型时)的转移性结直肠癌(CRC)。2.既往接受过甲磺酸伊马替尼和苹果酸舒尼替尼治疗的局部晚期、不可切除性或转移性胃肠道间质瘤(GIST)。3.既往接受过索拉非尼治疗的肝细胞癌(HC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瑞戈非尼（Regorafenib）是一种小分子抑制剂，靶向多种与细胞膜结合的激酶以及细胞内激酶，这些激酶参与正常的细胞功能和病理过程，例如肿瘤发生、肿瘤血管生成、转移和肿瘤免疫。在体外生化或细胞试验中，瑞戈非尼（Regorafenib）或其主要人类活性代谢产物M-2和M-5可在临床浓度下抑制RET、VEGFR1、VEGFR2、VEGFR3、KIT、PDGFR-α、PDGFR-β、FGFR1、FGFR2、TIE2、DDR2、TrkA、Eph2A、RAF-1、BRAF、BRAF V600E、SAPK2、PTK5、Abl和CSF1R的活性。瑞戈非尼（Regorafenib）在大鼠体内肿瘤模型中显示出抗血管生成活性，并在几种小鼠异种移植瘤模型（包括某些人结直肠癌、胃肠道间质癌和肝细胞癌）中显示出对肿瘤生长的抑制作用。瑞戈非尼（Regorafenib）还在小鼠异种移植模型和人结直肠癌的两个小鼠原位模型中证实了抗转移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Entrectinib</w:t>
            </w:r>
          </w:p>
          <w:p>
            <w:pPr>
              <w:spacing w:before="60" w:after="60"/>
              <w:jc w:val="center"/>
              <w:rPr>
                <w:rFonts w:hAnsi="等线"/>
                <w:color w:val="000000"/>
                <w:sz w:val="18"/>
                <w:szCs w:val="18"/>
              </w:rPr>
            </w:pPr>
            <w:r>
              <w:rPr>
                <w:rFonts w:hint="eastAsia" w:hAnsi="等线"/>
                <w:color w:val="000000"/>
                <w:sz w:val="18"/>
                <w:szCs w:val="18"/>
              </w:rPr>
              <w:t>恩曲替尼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非小细胞肺癌、实体瘤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恩曲替尼是一种激酶抑制剂，其适应症为：1.ROS1阳性的转移性非小细胞肺癌(NSCLC)成人患者。2.神经营养性酪氨酸受体激酶(NTRK)基因融合阳性、无已知的获得性耐药突变、转移性或手术切除可能导致严重发病率、且治疗后进展或没有令人满意的替代疗法的成人和儿童(≥12岁)实体瘤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恩曲替尼（Entrectinib）是一种靶向原肌球蛋白受体酪氨酸激酶（TRK）TRKA，TRKB和TRKC（分别由神经营养酪氨酸受体激酶[NTRK]基因NTRK1、NTRK2和NTRK3编码），由原癌基因编码的酪氨酸蛋白激酶ROS1（ROS1），以及间变性淋巴瘤激酶（ALK）的抑制剂，其IC50值为0.1至2 nM。恩曲替尼（Entrectinib）还可以抑制JAK2和TNK2的活性，IC50值</w:t>
            </w:r>
            <w:r>
              <w:rPr>
                <w:rFonts w:hint="eastAsia" w:hAnsi="等线"/>
                <w:color w:val="000000"/>
                <w:sz w:val="18"/>
                <w:szCs w:val="18"/>
                <w:lang w:val="en-US" w:eastAsia="zh-CN"/>
              </w:rPr>
              <w:t>＞</w:t>
            </w:r>
            <w:r>
              <w:rPr>
                <w:rFonts w:hint="eastAsia" w:hAnsi="等线"/>
                <w:color w:val="000000"/>
                <w:sz w:val="18"/>
                <w:szCs w:val="18"/>
              </w:rPr>
              <w:t>5 nM。恩曲替尼（Entrectinib）的主要活性代谢产物M5对TRK、ROS1和ALK的体外活性相似。包含TRK、ROS1或ALK激酶结构域的融合蛋白可以过度激活下游信号传导通路，导致细胞增殖不受限制，凭此驱动致癌潜力。恩曲替尼（Entrectinib）在体外和体内试验中都显示出对携带NTRK、ROS1和ALK融合基因的多种肿瘤类型的癌细胞系具有抑制作用。恩曲替尼（Entrectinib）在多种动物模型（小鼠、大鼠和狗）中的稳态脑血药物浓度比值为0.4-2.2，并且在颅内植入TRKA和ALK驱动肿瘤细胞系的小鼠体内表现出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Larotrectinib</w:t>
            </w:r>
          </w:p>
          <w:p>
            <w:pPr>
              <w:spacing w:before="60" w:after="60"/>
              <w:jc w:val="center"/>
              <w:rPr>
                <w:rFonts w:hAnsi="等线"/>
                <w:color w:val="000000"/>
                <w:sz w:val="18"/>
                <w:szCs w:val="18"/>
              </w:rPr>
            </w:pPr>
            <w:r>
              <w:rPr>
                <w:rFonts w:hint="eastAsia" w:hAnsi="等线"/>
                <w:color w:val="000000"/>
                <w:sz w:val="18"/>
                <w:szCs w:val="18"/>
              </w:rPr>
              <w:t>拉罗替尼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VITRAKVI是一种激酶抑制剂，适用于神经营养性酪氨酸受体激酶(NTRK)基因融合阳性、无已知的获得性耐药突变、转移性或手术切除可能导致严重发病率、且没有令人满意的替代疗法或治疗后进展的成人和儿童实体瘤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拉罗替尼（Larotrectinib）是原肌球蛋白受体激酶（TRK）A/B/C抑制剂。在一项广泛的纯化酶检测中，拉罗替尼（Larotrectinib）抑制TRKA，TRKB和TRKC，IC50值为5-11 nM。另一种激酶TNK2在大约100倍的浓度下被抑制。TRKA/B/C分别由NTRK1/2/3基因编码。这些基因与各种伴侣基因框内融合导致的染色体重排可以产生组成性激活的嵌合TRK融合蛋白，其可以作为致癌驱动剂，促进肿瘤细胞系的细胞增殖和存活。在体外试验和体内肿瘤模型中，拉罗替尼（Larotrectinib）在由基因融合、蛋白调节结构域缺失或细胞过表达TRK蛋白所产生的TRK蛋白组成性激活细胞中显示出抗肿瘤活性。拉罗替尼（Larotrectinib）在TRKA激酶结构域中发生点突变的细胞系中具有最小的活性，包括临床鉴定的获得性抗性突变G595R。临床已鉴定的TRKC激酶结构域中的拉罗替尼（Larotrectinib）获得性抗性点突变包括G623R、G696A和F617L。</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Trametinib</w:t>
            </w:r>
            <w:r>
              <w:rPr>
                <w:rFonts w:hint="eastAsia" w:hAnsi="等线"/>
                <w:color w:val="000000"/>
                <w:sz w:val="18"/>
                <w:szCs w:val="18"/>
              </w:rPr>
              <w:br w:type="textWrapping"/>
            </w:r>
            <w:r>
              <w:rPr>
                <w:rFonts w:hint="eastAsia" w:hAnsi="等线"/>
                <w:color w:val="000000"/>
                <w:sz w:val="18"/>
                <w:szCs w:val="18"/>
              </w:rPr>
              <w:t>曲美替尼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黑色素瘤、非小细胞肺癌、甲状腺癌、实体瘤，胶质瘤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MEKINIST是一种激酶抑制剂，其适应症为：1.单药用于治疗携带BRAF V600E或V600K突变的不可切除性或转移性黑色素瘤。2.联合达拉菲尼用于：(1)携带BRAF V600E或V600K突变的不可切除性或转移性黑色素瘤。(2)携带BRAF V600E或V600K突变且完全切除后累及淋巴结的黑色素瘤患者的辅助治疗。(3)携带BRAF V600E突变的转移性非小细胞肺癌(NSCLC)。(4)没有令人满意的局部区域治疗选择的BRAF V600E突变的局部晚期或转移性间变性甲状腺癌(ATC)。(5)携带BRAF V600E突变的不可切除或转移性实体瘤成人和6岁及以上的儿童患者的治疗，且这些患者在之前的治疗后进展，没有满意的替代治疗方案。（6）需要接受系统治疗并携带BRAF V600E突变的低级别胶质瘤( LGG )患者（1岁及以上）。</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曲美替尼（Trametinib）是有丝分裂原激活的细胞外信号调节激酶1（MEK1）和MEK2激活以及MEK1和MEK2激酶活性的可逆抑制剂。MEK蛋白是细胞外信号相关激酶（ERK）途径的上游调控因子，可促进细胞增殖。BRAF V600E突变导致包括MEK1和MEK2在内的BRAF途径的组成性激活。曲美替尼（Trametinib）在体外和体内抑制各种BRAF V600突变阳性肿瘤细胞的生长。曲美替尼（Trametinib）和达拉非尼（Dabrafenib）靶向RAS/RAF/MEK/ERK通路中的两种不同激酶。与单独使用这两种药物相比，曲美替尼（Trametinib）和达拉非尼（Dabrafenib）联合用药可加强对BRAF V600突变阳性肿瘤细胞系生长的抑制作用，并延长对BRAF V600突变阳性肿瘤异种移植物肿瘤生长的抑制作用。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Selpercatinib</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非小细胞肺癌、甲状腺癌、实体瘤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rPr>
              <w:t>RETEVMO是一种激酶抑制剂，其适应症为：1.转移性RET融合阳性非小细胞肺癌(NSCLC)成人患者。2.需要系统治疗的晚期或转移性RET突变型甲状腺髓样癌(MTC)成人和儿童(≥12岁)患者。3.需要系统治疗且放射性碘难治性(如果需要放射性碘)的晚期或转移性RET融合阳性甲状腺癌成人和儿童(≥12岁)患者。4.携带RET融合的转移性实体瘤患者，且在之前的系统性治疗后疾病进展，或者没有令人满意的治疗替代方案</w:t>
            </w:r>
            <w:r>
              <w:rPr>
                <w:rFonts w:hint="eastAsia" w:hAnsi="等线"/>
                <w:color w:val="000000"/>
                <w:sz w:val="18"/>
                <w:szCs w:val="18"/>
                <w:lang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Selpercatinib是一种激酶抑制剂。Selpercatinib可抑制野生型RET和多种突变的RET亚型以及VEGFR1和VEGFR3，IC50值在0.92 nM至67.8 nM之间。在其他酶分析中，Selpercatinib还可以在临床上仍可达到的更高浓度下抑制FGFR1、2和3的活性。在细胞试验中，Selperctinib抑制RET的浓度比FGFR1和2低约60倍，比VEGFR3低约8倍。RET的某些点突变或RET与各种伴侣基因框内融合导致的染色体重排可产生组成性激活的嵌合RET融合蛋白，其可充当致癌驱动因子，促进肿瘤细胞系的增殖。在体外试验和体内肿瘤模型中，Selperctinib在由基因融合和突变（包括CCDC6-RET、KIF5B-RET、RET V804M和RET M918T）产生的RET蛋白组成性激活细胞中表现出抗肿瘤活性。此外，Selperctinib在颅内移植患者源性RET融合阳性肿瘤的小鼠中也显示出抗肿瘤活性。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Adagrasib</w:t>
            </w:r>
          </w:p>
          <w:p>
            <w:pPr>
              <w:spacing w:before="60" w:after="60"/>
              <w:jc w:val="center"/>
              <w:rPr>
                <w:rFonts w:hAnsi="等线"/>
                <w:color w:val="000000"/>
                <w:sz w:val="18"/>
                <w:szCs w:val="18"/>
              </w:rPr>
            </w:pPr>
            <w:r>
              <w:rPr>
                <w:rFonts w:hint="eastAsia" w:hAnsi="等线"/>
                <w:color w:val="000000"/>
                <w:sz w:val="18"/>
                <w:szCs w:val="18"/>
              </w:rPr>
              <w:t>阿达格拉西布</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非小细胞肺癌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rPr>
              <w:t>KRAZATI是RAS GTPase家族的抑制剂，用于治疗FDA批准的KRAS G12C突变的局部晚期或转移性非小细胞肺癌的成人患者</w:t>
            </w:r>
            <w:r>
              <w:rPr>
                <w:rFonts w:hint="eastAsia" w:hAnsi="等线"/>
                <w:color w:val="000000"/>
                <w:sz w:val="18"/>
                <w:szCs w:val="18"/>
                <w:lang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lang w:eastAsia="zh-CN"/>
              </w:rPr>
              <w:t>Adagrasib是KRAS G12C的一种不可逆抑制剂，它与KRAS G12C中的突变半胱氨酸共价结合，并将突变KRAS蛋白锁定在其非活性状态，从而阻止下游信号传导，而不影响野生型KRAS蛋白。Adagrasib抑制KRAS G12C突变细胞的肿瘤细胞生长和活力，并在KRAS G12C突变的肿瘤异种移植模型中以最小的脱靶活性导致肿瘤消退。</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Dabrafenib</w:t>
            </w:r>
            <w:r>
              <w:rPr>
                <w:rFonts w:hint="eastAsia" w:hAnsi="等线"/>
                <w:color w:val="000000"/>
                <w:sz w:val="18"/>
                <w:szCs w:val="18"/>
              </w:rPr>
              <w:br w:type="textWrapping"/>
            </w:r>
            <w:r>
              <w:rPr>
                <w:rFonts w:hint="eastAsia" w:hAnsi="等线"/>
                <w:color w:val="000000"/>
                <w:sz w:val="18"/>
                <w:szCs w:val="18"/>
              </w:rPr>
              <w:t>达拉非尼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黑色素瘤、非小细胞肺癌、甲状腺癌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TAFINLAR是一种激酶抑制剂，其适应症为：1.单药用于治疗BRAF V600E突变的不可切除性或转移性黑色素瘤。2.联合曲美替尼用于：(1)BRAF V600E或V600K突变的不可切除性或转移性黑色素瘤。(2)BRAF V600E或V600K突变、手术切除后累及淋巴结的黑色素瘤的辅助治疗。(3)BRAF V600E突变的转移性非小细胞肺癌(NSCLC)。(4)BRAF V600E突变且没有令人满意的局部治疗选择的局部晚期或转移性间变性甲状腺癌(ATC)。（5）适用于携带BRAF V600突变的不可切除或转移性6岁及以上的成人和儿童实体瘤患者，且这些患者在之前的治疗后进展且没有合适的替代治疗方案。(6)携带BRAF V600E突变需要全身治疗的儿童（1岁及以上)胶质瘤患者 备注：BRAF抑制具有耐药性，因此TAFINLAR不用于结直肠癌患者的治疗，TAFINLAR也不适用于野生型BRAF实体瘤的治疗。使用限制:TAFINLAR不用于结直肠癌患者的治疗，因为已知的BRAF抑制内在耐药。TAFINLAR不适用于野生型BRAF实体瘤的治疗</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达拉菲尼(Dabrafenib)是一种靶向抑制剂，对一些BRAF突变如BRAF V600E、V600K和V600D的体外IC50值分别为0.65、0.5和1.84nM。达拉菲尼(Dabrafenib)也可以抑制野生型BRAF和CRAF激酶活性，IC50值分别为3.2和5.0nM，在更高浓度下还可以抑制其他激酶，如SIK1、NEK11和LIMK1。BRAF基因的一些突变，例如BRAF V600E突变，可以导致BRAF激酶的组成性激活，从而刺激肿瘤细胞的生长。无论是在体外还是在体内研究中，达拉菲尼(Dabrafenib)都可以抑制各种BRAF V600突变阳性肿瘤细胞的生长。达拉菲尼(Dabrafenib)和曲美替尼(Trametinib)靶向RAS/RAF/MEK/ERK通路的两种不同激酶。与单独使用两种药物相比，达拉菲尼(Dabrafenib)和曲美替尼(Trametinib)联合使用可增强对BRAF V600突变阳性肿瘤细胞系的生长抑制效果，并延长对BRAF V600突变阳性肿瘤异种移植模型的生长抑制作用。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Sorafenib</w:t>
            </w:r>
          </w:p>
          <w:p>
            <w:pPr>
              <w:spacing w:before="60" w:after="60"/>
              <w:jc w:val="center"/>
              <w:rPr>
                <w:rFonts w:hAnsi="等线"/>
                <w:color w:val="000000"/>
                <w:sz w:val="18"/>
                <w:szCs w:val="18"/>
              </w:rPr>
            </w:pPr>
            <w:r>
              <w:rPr>
                <w:rFonts w:hint="eastAsia" w:hAnsi="等线"/>
                <w:color w:val="000000"/>
                <w:sz w:val="18"/>
                <w:szCs w:val="18"/>
              </w:rPr>
              <w:t>索拉非尼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肝癌</w:t>
            </w:r>
            <w:r>
              <w:rPr>
                <w:rFonts w:hint="eastAsia" w:hAnsi="等线"/>
                <w:color w:val="000000"/>
                <w:sz w:val="18"/>
                <w:szCs w:val="18"/>
                <w:lang w:eastAsia="zh-CN"/>
              </w:rPr>
              <w:t>、</w:t>
            </w:r>
            <w:r>
              <w:rPr>
                <w:rFonts w:hint="eastAsia" w:hAnsi="等线"/>
                <w:color w:val="000000"/>
                <w:sz w:val="18"/>
                <w:szCs w:val="18"/>
              </w:rPr>
              <w:t>肾癌</w:t>
            </w:r>
            <w:r>
              <w:rPr>
                <w:rFonts w:hint="eastAsia" w:hAnsi="等线"/>
                <w:color w:val="000000"/>
                <w:sz w:val="18"/>
                <w:szCs w:val="18"/>
                <w:lang w:eastAsia="zh-CN"/>
              </w:rPr>
              <w:t>、</w:t>
            </w:r>
            <w:r>
              <w:rPr>
                <w:rFonts w:hint="eastAsia" w:hAnsi="等线"/>
                <w:color w:val="000000"/>
                <w:sz w:val="18"/>
                <w:szCs w:val="18"/>
              </w:rPr>
              <w:t>甲状腺癌</w:t>
            </w:r>
          </w:p>
        </w:tc>
        <w:tc>
          <w:tcPr>
            <w:tcW w:w="3227" w:type="pct"/>
            <w:gridSpan w:val="3"/>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Nexavar是一种激酶抑制剂，其适应症为：1.不可切除的肝细胞癌。2.晚期肾细胞癌。3.对放射性碘治疗无效的局部复发或转移性、进行性、分化型甲状腺癌(DTC)。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索拉非尼是一种激酶抑制剂，可在体外降低肿瘤细胞增殖。索拉非尼可抑制多种细胞内（c-CRAF、BRAF和突变BRAF）和细胞表面激酶（KIT、FLT-3、RET、RET/PTC、VEGFR-1、VEGFR-2、VEGFR-3和PDGFR-ß）的活性。其中一些激酶被认为与肿瘤细胞信号传导、血管生成和凋亡有关。索拉非尼抑制免疫功能低下小鼠中HCC、RCC和DTC人源肿瘤异种移植物的肿瘤生长。索拉非尼治疗后，HCC和RCC模型的肿瘤血管生成减少，HCC、RCC和DTC模型的肿瘤凋亡增加。</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Vemurafenib</w:t>
            </w:r>
          </w:p>
          <w:p>
            <w:pPr>
              <w:spacing w:before="60" w:after="60"/>
              <w:jc w:val="center"/>
              <w:rPr>
                <w:rFonts w:hAnsi="等线"/>
                <w:color w:val="000000"/>
                <w:sz w:val="18"/>
                <w:szCs w:val="18"/>
              </w:rPr>
            </w:pPr>
            <w:r>
              <w:rPr>
                <w:rFonts w:hint="eastAsia" w:hAnsi="等线"/>
                <w:color w:val="000000"/>
                <w:sz w:val="18"/>
                <w:szCs w:val="18"/>
              </w:rPr>
              <w:t>维莫非尼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黑色素瘤、Erdheim-Chester病</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ZELBORAF是一种激酶抑制剂，其适应症为：1.携带BRAF V600E突变的不可切除性或转移性黑色素瘤。2.携带BRAF V600突变的Erdheim-Chester病。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维罗非尼（Vemurafenib）是一种低分子量、口服可吸收的BRAF丝氨酸-苏氨酸激酶突变体（包括BRAF V600E）抑制剂。维罗非尼（Vemurafenib）还可以在体外以相似的浓度抑制其他激酶活性，如CRAF、ARAF、野生型BRAF、SRMS、ACK1、MAP4K5和FGR。包括V600E在内的BRAF基因突变会导致BRAF蛋白被组成性激活，从而在缺乏生长因子（通常在细胞增殖中必需）的情况下引起细胞增殖。维罗非尼（Vemurafenib）在BRAF V600E突变黑素瘤的细胞和动物模型中具有抗肿瘤作用。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Cabozantinib</w:t>
            </w:r>
          </w:p>
          <w:p>
            <w:pPr>
              <w:spacing w:before="60" w:after="60"/>
              <w:jc w:val="center"/>
              <w:rPr>
                <w:rFonts w:hAnsi="等线"/>
                <w:color w:val="000000"/>
                <w:sz w:val="18"/>
                <w:szCs w:val="18"/>
              </w:rPr>
            </w:pPr>
            <w:r>
              <w:rPr>
                <w:rFonts w:hint="eastAsia" w:hAnsi="等线"/>
                <w:color w:val="000000"/>
                <w:sz w:val="18"/>
                <w:szCs w:val="18"/>
              </w:rPr>
              <w:t>卡博替尼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肾癌、肝癌、甲状腺癌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COMETRIQ是一种激酶抑制剂，其适应症为：1. 晚期肾癌( RCC )患者。2. 联合纳武单抗进行晚期肾癌的一线治疗。3.既往曾使用索拉非尼的肝细胞癌( HCC )患者。 4. 既往接受过VEGFR靶向治疗的进展期放射性碘难治性局部晚期或转移性分化型甲状腺癌( DTC )的（年龄12岁以上）的成人和儿童患者。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体外生化和/或细胞分析研究表明，卡博替尼(Cabozantinib)抑制RET、MET、VEGFR-1、VEGFR-2和VEGFR-3、KIT、TRKB、FLT-3、AXL、ROS1、TYRO3、MER和TIE-2的酪氨酸激酶活性。这些酪氨酸激酶受体涉及参与调控细胞正常功能和病理进程（如肿瘤发生、转移、肿瘤血管生成、耐药发生和肿瘤微环境维持）。</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Lapatinib</w:t>
            </w:r>
          </w:p>
          <w:p>
            <w:pPr>
              <w:spacing w:before="60" w:after="60"/>
              <w:jc w:val="center"/>
              <w:rPr>
                <w:rFonts w:hAnsi="等线"/>
                <w:color w:val="000000"/>
                <w:sz w:val="18"/>
                <w:szCs w:val="18"/>
              </w:rPr>
            </w:pPr>
            <w:r>
              <w:rPr>
                <w:rFonts w:hint="eastAsia" w:hAnsi="等线"/>
                <w:color w:val="000000"/>
                <w:sz w:val="18"/>
                <w:szCs w:val="18"/>
              </w:rPr>
              <w:t>拉帕替尼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YKERB是一种激酶抑制剂，其适应症为：1.联合卡培他滨用于治疗过表达人表皮生长因子受体2(HER2)并且既往接受过蒽环类、紫杉类和曲妥珠单抗等治疗的晚期或转移性乳腺癌。2.联合来曲唑用于治疗过表达HER2受体适用激素治疗的绝经后妇女激素受体阳性转移性乳腺癌。</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拉帕替尼（Lapatinib）是一种4-苯胺喹唑啉类抑制剂，可抑制人表皮生长因子受体（EGFR [ErbB1]）和人表皮生长因子受体2（HER2 [ErbB2]）的胞内酪氨酸激酶结构域活性（预估Kiapp值分别为3 nM和13 nM），消除半衰期大于或等于300分钟。拉帕替尼（Lapatinib）可在体外和各种动物模型中抑制ErbB驱动的肿瘤细胞生长。在一项体外研究的4种受试肿瘤细胞系中，拉帕替尼（Lapatinib）和 5-FU（卡培他滨的活性代谢物）联合用药显示出相加作用。在对曲妥珠单抗（Trastuzumab）耐受的细胞系中拉帕替尼（Lapatinib）的生长抑制作用已得到评估。拉帕替尼（Lapatinib）对于可在含曲妥珠单抗（Trastuzumab）培养基中长期生长的乳腺癌细胞系也保持显著活性。这些体外研究表明，这两种药物之间没有交叉耐药性。共表达HER2的激素受体阳性乳腺癌细胞（如雌激素受体[ER]和/或孕激素受体[PgR]）易对内分泌治疗产生耐受。同样，激素受体阳性乳腺癌细胞缺乏EGFR或HER2时会上调这些受体蛋白表达，使肿瘤对内分泌治疗耐受。</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bookmarkStart w:id="101" w:name="OLE_LINK1"/>
            <w:r>
              <w:rPr>
                <w:rFonts w:hint="eastAsia" w:hAnsi="等线"/>
                <w:color w:val="000000"/>
                <w:sz w:val="18"/>
                <w:szCs w:val="18"/>
              </w:rPr>
              <w:t>Lenvatinib</w:t>
            </w:r>
          </w:p>
          <w:bookmarkEnd w:id="101"/>
          <w:p>
            <w:pPr>
              <w:spacing w:before="60" w:after="60"/>
              <w:jc w:val="center"/>
              <w:rPr>
                <w:rFonts w:hAnsi="等线"/>
                <w:color w:val="000000"/>
                <w:sz w:val="18"/>
                <w:szCs w:val="18"/>
              </w:rPr>
            </w:pPr>
            <w:r>
              <w:rPr>
                <w:rFonts w:hint="eastAsia" w:hAnsi="等线"/>
                <w:color w:val="000000"/>
                <w:sz w:val="18"/>
                <w:szCs w:val="18"/>
              </w:rPr>
              <w:t>仑伐替尼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甲状腺癌、肾细胞癌、肝细胞癌、子宫内膜癌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LENVIMA是一种激酶抑制剂，其适应症包括：1.局部复发或转移性、进展性、放射性碘难治性分化型甲状腺癌(DTC)。2.联合Pembrolizumab用于晚期肾细胞癌成人患者的一线治疗，或联合依维莫司用于治疗既往接受过抗血管生成药物治疗的晚期肾细胞癌(RCC)成人患者。3.不可切除性肝细胞癌(HCC)的一线治疗。4.联合帕博利珠单抗用于治疗正常错配修复或非微卫星高不稳定性(MSI-H)的在既往接受系统治疗后病情进展、且不适合根治性手术或放射治疗的晚期子宫内膜癌(E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仑伐替尼(Lenvatinib)是一种受体酪氨酸激酶(RTK)抑制剂，抑制血管内皮生长因子的激酶活性(VEGF)的受体VEGFR1(FLT1)，VEGFR2(KDR)，和VEGFR3(FLT4)。仑伐替尼(Lenvatinib)还能抑制除正常细胞功能外与致病性血管生成、肿瘤生长以及癌症进展相关的其它激酶，包括成纤维细胞生长因子(FGF)受体FGFR1、2、3和4；血小板衍生生长因子受体α(PDGFRα)、KIT和RET。仑伐替尼(Lenvatinib)在肝细胞癌细胞系中还表现出抗增殖活性,这取决于激活的FGFR信号传导,同时抑制FGF受体底物2α(FRS2α)磷酸化。在同系小鼠肿瘤模型中，与任何一种单独治疗相比，仑伐替尼(Lenvatinib)和抗PD-1单克隆抗体联用减少了与肿瘤相关的巨噬细胞，增加激活的细胞毒性T细胞，并表现出更强的抗肿瘤活性。仑伐替尼(Lenvatinib)与依维莫司(Everolimus)联合用药体外可抑制人内皮细胞增殖、血管形成、VEGF信号通路，体内可降低人肾细胞癌荷瘤小鼠的肿瘤体积，联合用药的抗血管生成与抗肿瘤活性大于单药使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Selumetinib</w:t>
            </w:r>
          </w:p>
          <w:p>
            <w:pPr>
              <w:spacing w:before="60" w:after="60"/>
              <w:jc w:val="center"/>
              <w:rPr>
                <w:rFonts w:hAnsi="等线"/>
                <w:color w:val="000000"/>
                <w:sz w:val="18"/>
                <w:szCs w:val="18"/>
              </w:rPr>
            </w:pPr>
            <w:r>
              <w:rPr>
                <w:rFonts w:hint="eastAsia" w:hAnsi="等线"/>
                <w:color w:val="000000"/>
                <w:sz w:val="18"/>
                <w:szCs w:val="18"/>
              </w:rPr>
              <w:t>司美替尼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神经纤维瘤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KOSELUGO是一种激酶抑制剂，适用于2岁及以上患有1型神经纤维瘤(NF1)、有症状的、不能手术的丛状神经纤维瘤(PN)的儿童患者。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elumetinib是丝裂原活化蛋白激酶激酶1和2（MEK1/2）的抑制剂。MEK1/2蛋白是细胞外信号相关激酶（ERK）途径的上游调节因子。MEK和ERK都是RAS调节的RAF-MEK-ERK通路的关键组成部分，该通路通常在不同类型的癌症中被激活。在产生与人类NF1基因型和表型相似的神经纤维瘤的转基因NF1小鼠模型中，口服塞洛替尼抑制ERK磷酸化，并减少神经纤维瘤的数量、体积和增殖。</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Tucatinib</w:t>
            </w:r>
          </w:p>
          <w:p>
            <w:pPr>
              <w:spacing w:before="60" w:after="60"/>
              <w:jc w:val="center"/>
              <w:rPr>
                <w:rFonts w:hAnsi="等线"/>
                <w:color w:val="000000"/>
                <w:sz w:val="18"/>
                <w:szCs w:val="18"/>
              </w:rPr>
            </w:pPr>
            <w:r>
              <w:rPr>
                <w:rFonts w:hint="eastAsia" w:hAnsi="等线"/>
                <w:color w:val="000000"/>
                <w:sz w:val="18"/>
                <w:szCs w:val="18"/>
              </w:rPr>
              <w:t>妥卡替尼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w:t>
            </w:r>
          </w:p>
        </w:tc>
        <w:tc>
          <w:tcPr>
            <w:tcW w:w="3227" w:type="pct"/>
            <w:gridSpan w:val="3"/>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UKYSA是一种激酶抑制剂，其适应证为：1.联合曲妥珠单抗和卡培他滨治疗既往转移治疗中接受过一种或多种抗HER2治疗的晚期不可切除性或转移性HER2阳性乳腺癌成人患者，包括发生脑转移的患者。2.联合曲妥珠单抗治疗患者之前在氟嘧啶、奥沙利铂和伊立替康化疗治疗后进展的RAS野生型，HER2阳性不可切除或转移性结直肠癌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Tucatinib是HER2的酪氨酸激酶抑制剂。 在体外试验中，Tucatinib能够抑制HER2和HER3磷酸化，从而抑制下游MAPK和AKT信号通路和细胞增殖，并且在表达HER2的肿瘤细胞中显示出抗肿瘤活性。在体内研究中，Tucatinib可以抑制表达HER2肿瘤的生长。与单独使用这两种药物相比，Tucatinib和曲妥珠单抗（Trastuzumab)联合在体外试验和体内研究中均表现出增强的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Trastuzumab</w:t>
            </w:r>
          </w:p>
          <w:p>
            <w:pPr>
              <w:spacing w:before="60" w:after="60"/>
              <w:jc w:val="center"/>
              <w:rPr>
                <w:rFonts w:hAnsi="等线"/>
                <w:color w:val="000000"/>
                <w:sz w:val="18"/>
                <w:szCs w:val="18"/>
              </w:rPr>
            </w:pPr>
            <w:r>
              <w:rPr>
                <w:rFonts w:hint="eastAsia" w:hAnsi="等线"/>
                <w:color w:val="000000"/>
                <w:sz w:val="18"/>
                <w:szCs w:val="18"/>
              </w:rPr>
              <w:t>曲妥珠单抗</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乳腺癌、胃癌、胃食管交界处腺癌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Herceptin是一种HER2/neu受体拮抗剂，其适应症为：1.HER2过表达的乳腺癌。2.HER2过表达的转移性胃或胃食管交界处腺癌。</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HER2（或c-erbB2）原癌基因编码一个185 kDa的跨膜受体蛋白，该蛋白在结构上与表皮生长因子受体有关。曲妥珠单抗/赫赛汀（Trastuzumab/Herceptin）在体外及动物实验中均显示出可抑制HER2过表达肿瘤细胞的增殖。曲妥珠单抗/赫赛汀（Trastuzumab/Herceptin）是抗体依赖性细胞毒性（ADCC）的介体。在体外研究中，与未过表达HER2的癌细胞相比，曲妥珠单抗/赫赛汀（Trastuzumab/Herceptin）介导的ADCC优先作用于过表达HER2的癌细胞。</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Fam-trastuzumab deruxtecan-nxki</w:t>
            </w:r>
          </w:p>
          <w:p>
            <w:pPr>
              <w:spacing w:before="60" w:after="60"/>
              <w:jc w:val="center"/>
              <w:rPr>
                <w:rFonts w:hint="default" w:hAnsi="等线" w:eastAsia="等线"/>
                <w:color w:val="000000"/>
                <w:sz w:val="18"/>
                <w:szCs w:val="18"/>
                <w:lang w:val="en-US" w:eastAsia="zh-CN"/>
              </w:rPr>
            </w:pPr>
            <w:r>
              <w:rPr>
                <w:rFonts w:hint="eastAsia" w:hAnsi="等线"/>
                <w:color w:val="000000"/>
                <w:sz w:val="18"/>
                <w:szCs w:val="18"/>
                <w:lang w:val="en-US" w:eastAsia="zh-CN"/>
              </w:rPr>
              <w:t>德曲妥珠单抗</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乳腺癌、胃癌、胃食管交界处腺癌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ENHERTU是一种HER2靶向抗体和拓扑异构酶抑制剂偶联物，其适应症为：1.携带HER2阳性，前期已接受过以抗HER2为基础的治疗(转移性疾病治疗或新辅助/辅助治疗）并在完成治疗期间或6个月内出现疾病复发的不可切除性或转移性乳腺癌成人患者。2.FDA批准检测的HER2低表达(IHC 1+或IHC 2+/ISH-)且在疾病转移后接受过化疗或在完成辅助化疗期间或6个月内发生疾病转移或复发成年乳腺癌患者。3.携带HER2 (ERBB2)激活突变的不可切除或转移性非小细胞肺癌(NSCLC)成人患者。4.既往接受过基于曲妥珠单抗治疗的HER2阳性、局部进展或转移性胃或胃食管交界处腺癌的成人患者。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Fam-trastuzumab deruxtecan-nxki是一种HER2定向抗体药物偶联物。该抗体为人源化抗HER2 IgG1。小分子DXd是一种拓扑异构酶I抑制剂，通过可切割的接头与抗体相连。与肿瘤细胞上的HER2结合后，Fam-trastuzumab deruxtecan-nxki通过溶酶体酶进行内化和细胞内接头裂解。释放后，膜渗透性DXd会导致DNA损伤和细胞凋亡。</w:t>
            </w:r>
          </w:p>
        </w:tc>
      </w:tr>
    </w:tbl>
    <w:p>
      <w:r>
        <w:br w:type="page"/>
      </w:r>
    </w:p>
    <w:p>
      <w:pPr>
        <w:spacing w:before="340" w:line="360" w:lineRule="auto"/>
        <w:ind w:firstLine="600" w:firstLineChars="200"/>
        <w:jc w:val="left"/>
        <w:outlineLvl w:val="1"/>
        <w:rPr>
          <w:rFonts w:hAnsi="等线" w:cs="Arial"/>
          <w:b/>
          <w:bCs/>
          <w:color w:val="00B0F0"/>
          <w:sz w:val="30"/>
          <w:szCs w:val="30"/>
        </w:rPr>
      </w:pPr>
      <w:bookmarkStart w:id="102" w:name="遗传性肿瘤综合征介绍"/>
      <w:bookmarkEnd w:id="102"/>
      <w:bookmarkStart w:id="103" w:name="肺癌多靶点药物"/>
      <w:bookmarkEnd w:id="103"/>
      <w:bookmarkStart w:id="104" w:name="_Toc89103168"/>
      <w:bookmarkStart w:id="105" w:name="_Ref80371543"/>
      <w:bookmarkStart w:id="106" w:name="_Toc81378427"/>
      <w:r>
        <w:rPr>
          <w:rFonts w:hint="eastAsia" w:hAnsi="等线" w:cs="Arial"/>
          <w:b/>
          <w:bCs/>
          <w:color w:val="00B0F0"/>
          <w:sz w:val="30"/>
          <w:szCs w:val="30"/>
          <w:lang w:val="en-US" w:eastAsia="zh-CN"/>
        </w:rPr>
        <w:t>结直肠</w:t>
      </w:r>
      <w:r>
        <w:rPr>
          <w:rFonts w:hint="eastAsia" w:hAnsi="等线" w:cs="Arial"/>
          <w:b/>
          <w:bCs/>
          <w:color w:val="00B0F0"/>
          <w:sz w:val="30"/>
          <w:szCs w:val="30"/>
        </w:rPr>
        <w:t>癌多靶点药物和联合治疗用药方案</w:t>
      </w:r>
      <w:r>
        <w:rPr>
          <w:rFonts w:hAnsi="等线" w:cs="Arial"/>
          <w:b/>
          <w:bCs/>
          <w:color w:val="00B0F0"/>
          <w:sz w:val="30"/>
          <w:szCs w:val="30"/>
        </w:rPr>
        <w:drawing>
          <wp:anchor distT="0" distB="0" distL="114300" distR="114300" simplePos="0" relativeHeight="251698176" behindDoc="0" locked="0" layoutInCell="1" allowOverlap="1">
            <wp:simplePos x="0" y="0"/>
            <wp:positionH relativeFrom="column">
              <wp:posOffset>-9525</wp:posOffset>
            </wp:positionH>
            <wp:positionV relativeFrom="paragraph">
              <wp:posOffset>52070</wp:posOffset>
            </wp:positionV>
            <wp:extent cx="295275" cy="297180"/>
            <wp:effectExtent l="0" t="0" r="9525" b="7620"/>
            <wp:wrapNone/>
            <wp:docPr id="1050" name="图片 70"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lang w:val="en-US" w:eastAsia="zh-CN"/>
        </w:rPr>
        <w:t>介绍</w:t>
      </w:r>
    </w:p>
    <w:tbl>
      <w:tblPr>
        <w:tblStyle w:val="20"/>
        <w:tblW w:w="5111" w:type="pct"/>
        <w:tblInd w:w="0" w:type="dxa"/>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Layout w:type="fixed"/>
        <w:tblCellMar>
          <w:top w:w="0" w:type="dxa"/>
          <w:left w:w="0" w:type="dxa"/>
          <w:bottom w:w="0" w:type="dxa"/>
          <w:right w:w="0" w:type="dxa"/>
        </w:tblCellMar>
      </w:tblPr>
      <w:tblGrid>
        <w:gridCol w:w="843"/>
        <w:gridCol w:w="1733"/>
        <w:gridCol w:w="1061"/>
        <w:gridCol w:w="1096"/>
        <w:gridCol w:w="5151"/>
      </w:tblGrid>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blHeader/>
        </w:trPr>
        <w:tc>
          <w:tcPr>
            <w:tcW w:w="426" w:type="pct"/>
            <w:tcBorders>
              <w:tl2br w:val="nil"/>
              <w:tr2bl w:val="nil"/>
            </w:tcBorders>
            <w:shd w:val="clear" w:color="auto" w:fill="00B0F0"/>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癌种</w:t>
            </w:r>
          </w:p>
        </w:tc>
        <w:tc>
          <w:tcPr>
            <w:tcW w:w="876"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用药方案</w:t>
            </w:r>
          </w:p>
        </w:tc>
        <w:tc>
          <w:tcPr>
            <w:tcW w:w="536"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治疗类型</w:t>
            </w:r>
          </w:p>
        </w:tc>
        <w:tc>
          <w:tcPr>
            <w:tcW w:w="554"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药物机制</w:t>
            </w:r>
          </w:p>
        </w:tc>
        <w:tc>
          <w:tcPr>
            <w:tcW w:w="2605"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使用范围</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restart"/>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rPr>
              <w:t>结直肠癌</w:t>
            </w: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放疗+卡培他滨</w:t>
            </w:r>
          </w:p>
        </w:tc>
        <w:tc>
          <w:tcPr>
            <w:tcW w:w="536"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术前同期放化疗</w:t>
            </w:r>
          </w:p>
        </w:tc>
        <w:tc>
          <w:tcPr>
            <w:tcW w:w="554"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放疗+化疗</w:t>
            </w:r>
          </w:p>
        </w:tc>
        <w:tc>
          <w:tcPr>
            <w:tcW w:w="2605" w:type="pct"/>
            <w:vMerge w:val="restar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非转移性直肠癌的术前同期放化疗</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放疗+5-FU持续输注</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疗效+伊立替康联合卡培他滨</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34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CAPEOX</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术后辅助化疗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化疗</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II期高危（T3N0M0/pMMR伴高危因素，或T4N0M0），或III期（T任何N+M0），可切除结肠癌的术后辅助化疗（1A类I级推荐）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340"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FOLFOX</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w:t>
            </w:r>
          </w:p>
        </w:tc>
        <w:tc>
          <w:tcPr>
            <w:tcW w:w="536"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新辅助化疗</w:t>
            </w:r>
          </w:p>
        </w:tc>
        <w:tc>
          <w:tcPr>
            <w:tcW w:w="554"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ascii="等线" w:hAnsi="等线" w:eastAsia="等线" w:cs="等线"/>
                <w:sz w:val="18"/>
                <w:szCs w:val="18"/>
                <w:lang w:bidi="ar"/>
              </w:rPr>
              <w:t>化疗</w:t>
            </w:r>
          </w:p>
        </w:tc>
        <w:tc>
          <w:tcPr>
            <w:tcW w:w="2605" w:type="pct"/>
            <w:vMerge w:val="restart"/>
            <w:tcBorders>
              <w:tl2br w:val="nil"/>
              <w:tr2bl w:val="nil"/>
            </w:tcBorders>
            <w:shd w:val="clear" w:color="auto" w:fill="CCDDF3"/>
            <w:noWrap/>
            <w:tcMar>
              <w:top w:w="12" w:type="dxa"/>
              <w:left w:w="12" w:type="dxa"/>
              <w:right w:w="12" w:type="dxa"/>
            </w:tcMar>
            <w:vAlign w:val="center"/>
          </w:tcPr>
          <w:p>
            <w:pPr>
              <w:numPr>
                <w:ilvl w:val="0"/>
                <w:numId w:val="9"/>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初始可切除转移性结肠癌的新辅助化疗；</w:t>
            </w:r>
          </w:p>
          <w:p>
            <w:pPr>
              <w:numPr>
                <w:ilvl w:val="0"/>
                <w:numId w:val="9"/>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同时性转移性直肠癌（原发灶可切除≦中度复发风险，转移瘤可切除）的新辅助化疗</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02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潜在可切除组，适合强烈治疗（RAS和BRAF均野生型），原发灶位于左侧结直肠（2A类II级推荐），原发灶位于右侧结肠（2B类II级推荐）；</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w:t>
            </w:r>
            <w:r>
              <w:rPr>
                <w:rFonts w:hint="eastAsia" w:ascii="等线" w:hAnsi="等线" w:eastAsia="等线" w:cs="等线"/>
                <w:sz w:val="18"/>
                <w:szCs w:val="18"/>
                <w:lang w:val="en-US" w:eastAsia="zh-CN"/>
              </w:rPr>
              <w:t>或</w:t>
            </w:r>
            <w:r>
              <w:rPr>
                <w:rFonts w:hint="eastAsia" w:ascii="等线" w:hAnsi="等线" w:eastAsia="等线" w:cs="等线"/>
                <w:sz w:val="18"/>
                <w:szCs w:val="18"/>
              </w:rPr>
              <w:t>BRAF</w:t>
            </w:r>
            <w:r>
              <w:rPr>
                <w:rFonts w:hint="eastAsia" w:ascii="等线" w:hAnsi="等线" w:eastAsia="等线" w:cs="等线"/>
                <w:sz w:val="18"/>
                <w:szCs w:val="18"/>
                <w:lang w:val="en-US" w:eastAsia="zh-CN"/>
              </w:rPr>
              <w:t>突变型</w:t>
            </w:r>
            <w:r>
              <w:rPr>
                <w:rFonts w:hint="eastAsia" w:ascii="等线" w:hAnsi="等线" w:eastAsia="等线" w:cs="等线"/>
                <w:sz w:val="18"/>
                <w:szCs w:val="18"/>
              </w:rPr>
              <w:t>）</w:t>
            </w:r>
            <w:r>
              <w:rPr>
                <w:rFonts w:hint="eastAsia" w:ascii="等线" w:hAnsi="等线" w:eastAsia="等线" w:cs="等线"/>
                <w:sz w:val="18"/>
                <w:szCs w:val="18"/>
                <w:lang w:eastAsia="zh-CN"/>
              </w:rPr>
              <w:t>（2A类II级推荐）；</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姑息治疗组，适合强烈治疗（MSS或MSI-L/pMMR）（1A类I级推荐）；</w:t>
            </w:r>
          </w:p>
          <w:p>
            <w:pPr>
              <w:numPr>
                <w:ilvl w:val="0"/>
                <w:numId w:val="10"/>
              </w:numPr>
              <w:spacing w:line="240" w:lineRule="exact"/>
              <w:rPr>
                <w:rFonts w:hint="eastAsia" w:ascii="等线" w:hAnsi="等线" w:eastAsia="等线" w:cs="等线"/>
                <w:sz w:val="18"/>
                <w:szCs w:val="18"/>
              </w:rPr>
            </w:pPr>
            <w:r>
              <w:rPr>
                <w:rFonts w:hint="eastAsia" w:ascii="等线" w:hAnsi="等线" w:eastAsia="等线" w:cs="等线"/>
                <w:sz w:val="18"/>
                <w:szCs w:val="18"/>
              </w:rPr>
              <w:t>减量的两药化疗，用于姑息治疗组，不适合强烈治疗（MSS或MSI-L/pMMR）（2B类II级推荐）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02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1"/>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hint="eastAsia" w:ascii="等线" w:hAnsi="等线" w:eastAsia="等线" w:cs="等线"/>
                <w:sz w:val="18"/>
                <w:szCs w:val="18"/>
                <w:lang w:bidi="ar"/>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2"/>
              </w:numPr>
              <w:spacing w:line="240" w:lineRule="exact"/>
              <w:rPr>
                <w:rFonts w:ascii="等线" w:hAnsi="等线" w:eastAsia="等线" w:cs="等线"/>
                <w:sz w:val="18"/>
                <w:szCs w:val="18"/>
                <w:lang w:bidi="ar"/>
              </w:rPr>
            </w:pPr>
            <w:r>
              <w:rPr>
                <w:rFonts w:hint="eastAsia" w:ascii="等线" w:hAnsi="等线" w:eastAsia="等线" w:cs="等线"/>
                <w:sz w:val="18"/>
                <w:szCs w:val="18"/>
              </w:rPr>
              <w:t>潜在可切除组，适合强烈治疗（2A类II级推荐）</w:t>
            </w:r>
            <w:r>
              <w:rPr>
                <w:rFonts w:hint="eastAsia" w:ascii="等线" w:hAnsi="等线" w:eastAsia="等线" w:cs="等线"/>
                <w:sz w:val="18"/>
                <w:szCs w:val="18"/>
                <w:lang w:eastAsia="zh-CN"/>
              </w:rPr>
              <w:t>；</w:t>
            </w:r>
          </w:p>
          <w:p>
            <w:pPr>
              <w:numPr>
                <w:ilvl w:val="0"/>
                <w:numId w:val="12"/>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姑息治疗组，适合强烈治疗（MSS或MSI-L/pMMR）（1A类I级推荐）；</w:t>
            </w:r>
          </w:p>
          <w:p>
            <w:pPr>
              <w:numPr>
                <w:ilvl w:val="0"/>
                <w:numId w:val="12"/>
              </w:numPr>
              <w:spacing w:line="240" w:lineRule="exact"/>
              <w:rPr>
                <w:rFonts w:hint="eastAsia" w:ascii="等线" w:hAnsi="等线" w:eastAsia="等线" w:cs="等线"/>
                <w:sz w:val="18"/>
                <w:szCs w:val="18"/>
              </w:rPr>
            </w:pPr>
            <w:r>
              <w:rPr>
                <w:rFonts w:hint="eastAsia" w:ascii="等线" w:hAnsi="等线" w:eastAsia="等线" w:cs="等线"/>
                <w:sz w:val="18"/>
                <w:szCs w:val="18"/>
              </w:rPr>
              <w:t>减量的两药化疗，用于姑息治疗组，不适合强烈治疗（MSS或MSI-L/pMMR）（2B类II级推荐）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30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FOLFOX+西妥昔单抗</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潜在可切除组，适合强烈治疗（RAS和BRAF均野生型），原发灶位于左侧结直肠（2A类I级推荐），原发灶位于右侧结肠（2B类II级推荐）；</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姑息治疗组，适合强烈治疗（MSS或MSI-L/pMMR，RAS和BRAF均野生型），原发灶位于左侧结直肠（1A类I级推荐），原发灶位于右侧结肠，贝伐珠单抗有禁忌者（2A类II级推荐）；</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减量的两药化疗+西妥昔单抗，用于姑息治疗组，不适合强烈治疗（MSS或MSI-L/pMMR，RAS和BRAF均野生型）（2B类II级推荐）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30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FOLFIRI+西妥昔单抗</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numPr>
                <w:ilvl w:val="0"/>
                <w:numId w:val="14"/>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FOLFOXIRI+西妥昔单抗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初始不可切除转移性结肠癌或同时性转移性直肠癌（原发灶可切除≦中度复发风险，转移瘤不可切除），潜在可切除组，适合强烈治疗（RAS和BRAF均野生型）（2B类III级推荐）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FOLFOX+贝伐珠单抗</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潜在可切除组，适合强烈治疗（RAS或BRAF突变型）（2A类I级推荐）；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姑息治疗组，适合强烈治疗（MSS或MSI-L/pMMR，RAS和BRAF均野生型），原发灶位于左侧结直肠（1A类II级推荐），原发灶位于右侧结肠（1A类I级推荐）；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减量的两药化疗+贝伐珠单抗，用于姑息治疗组，不适合强烈治疗（MSS或MSI-L/pMMR）（2B类II级推荐）；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FOLFIRI+贝伐珠单抗</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6"/>
              </w:numPr>
              <w:spacing w:line="240" w:lineRule="exact"/>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CAPEOX+贝伐珠单抗</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7"/>
              </w:numPr>
              <w:spacing w:line="240" w:lineRule="exact"/>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FOLFOXIRI±贝伐珠单抗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8"/>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潜在可切除组，适合强烈治疗（RAS和BRAF均野生型），原发灶位于左侧结直肠（2A类II级推荐），原发灶位于右侧结肠（2A类I级推荐）；</w:t>
            </w:r>
          </w:p>
          <w:p>
            <w:pPr>
              <w:numPr>
                <w:ilvl w:val="0"/>
                <w:numId w:val="18"/>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潜在可切除组，适合强烈治疗（RAS或BRAF突变型）（2A类I级推荐）；</w:t>
            </w:r>
          </w:p>
          <w:p>
            <w:pPr>
              <w:numPr>
                <w:ilvl w:val="0"/>
                <w:numId w:val="18"/>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姑息治疗组，适合强烈治疗（MSS或MSI-L/pMMR）（1B类II级推荐）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氟尿嘧啶类单药</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初始不可切除转移性结肠癌或同时性转移性直肠癌（原发灶可切除≦中度复发风险，转移瘤不可切除），姑息治疗组，不适合强烈治疗（MSS或MSI-L/pMMR）（1A类I级推荐）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曲氟尿苷替匹嘧啶+贝伐珠单抗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化疗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初始不可切除转移性结肠癌或同时性转移性直肠癌（原发灶可切除≦中度复发风险，转移瘤不可切除），姑息治疗组，不适合强烈治疗（MSS或MSI-L/pMMR）（2B类III级推荐）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和BRAF均野生型），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伊立替康+西妥昔单抗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初始不可切除转移性结肠癌或同时性转移性直肠癌（原发灶可切除≦中度复发风险，转移瘤不可切除），姑息治疗组，一线接受奥沙利铂/伊立替康治疗（MSS或MSI-L/pMMR，RAS和BRAF均野生型）（2A类II级推荐）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伊立替康+雷替曲塞</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氟尿嘧啶类不耐受（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伊立替康+卡培他滨±贝伐珠单抗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1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RAS和BRAF均野生型），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1A类I级推荐），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奥沙利铂+雷替曲塞</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或一线未接受伊立替康或奥沙利铂治疗（MSS或MSI-L/pMMR），氟尿嘧啶类不耐受（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初始不可切除转移性结肠癌或同时性转移性直肠癌（原发灶可切除≦中度复发风险，转移瘤不可切除），姑息治疗组，一线接受奥沙利铂治疗（MSS或MSI-L/pMMR，RAS或BRAF突变型）（2A类II级推荐）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伊立替康+西妥昔单抗+维莫非尼</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初始不可切除转移性结肠癌或同时性转移性直肠癌（原发灶可切除≦中度复发风险，转移瘤不可切除），姑息治疗组，一线接受奥沙利铂治疗或一线未接受伊立替康或奥沙利铂治疗（MSS或MSI-L/pMMR，RAS野生/BRAF V600E突变）（2B类III级推荐）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初始不可切除转移性结肠癌或同时性转移性直肠癌（原发灶可切除≦中度复发风险，转移瘤不可切除），姑息治疗组，一线未接受伊立替康或奥沙利铂治疗（MSS或MSI-L/pMMR）（2A类II级推荐）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西妥昔单抗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伊立替康</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靶向</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化疗</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RAS和BRAF均野生型），之前未行西妥昔单抗治疗（1A类I级推荐），之前接受过西妥昔单抗治疗（3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瑞戈非尼</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抗血管生成</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呋喹替尼</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9"/>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曲氟尿苷替匹嘧啶+贝伐珠单抗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初始不可切除转移性结肠癌或同时性转移性直肠癌（原发灶可切除≦中度复发风险，转移瘤不可切除），姑息治疗组，已接受过奥沙利铂和伊立替康治疗（MSS或MSI-L/pMMR）（2</w:t>
            </w:r>
            <w:r>
              <w:rPr>
                <w:rFonts w:hint="eastAsia" w:ascii="等线" w:hAnsi="等线" w:eastAsia="等线" w:cs="等线"/>
                <w:sz w:val="18"/>
                <w:szCs w:val="18"/>
                <w:lang w:val="en-US" w:eastAsia="zh-CN"/>
              </w:rPr>
              <w:t>A</w:t>
            </w:r>
            <w:r>
              <w:rPr>
                <w:rFonts w:hint="eastAsia" w:ascii="等线" w:hAnsi="等线" w:eastAsia="等线" w:cs="等线"/>
                <w:sz w:val="18"/>
                <w:szCs w:val="18"/>
              </w:rPr>
              <w:t>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伊立替康+西妥昔单抗+维莫非尼</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lang w:bidi="ar"/>
              </w:rPr>
              <w:t>三线治疗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初始不可切除转移性结肠癌或同时性转移性直肠癌（原发灶可切除≦中度复发风险，转移瘤不可切除），姑息治疗组，已接受过奥沙利铂和伊立替康治疗（MSS或MSI-L/pMMR，RAS野生/BRAF V600E突变）（2B类III级推荐）</w:t>
            </w:r>
          </w:p>
        </w:tc>
      </w:tr>
    </w:tbl>
    <w:p>
      <w:pPr>
        <w:rPr>
          <w:rFonts w:hint="eastAsia"/>
          <w:sz w:val="20"/>
          <w:szCs w:val="21"/>
        </w:rPr>
      </w:pPr>
      <w:r>
        <w:rPr>
          <w:rFonts w:hint="eastAsia"/>
          <w:sz w:val="20"/>
          <w:szCs w:val="21"/>
        </w:rPr>
        <w:t>说明：</w:t>
      </w:r>
    </w:p>
    <w:p>
      <w:pPr>
        <w:rPr>
          <w:rFonts w:hint="eastAsia"/>
        </w:rPr>
      </w:pPr>
      <w:r>
        <w:rPr>
          <w:rFonts w:hint="eastAsia"/>
          <w:sz w:val="20"/>
          <w:szCs w:val="21"/>
        </w:rPr>
        <w:t>上述表格来源于中国临床肿瘤学会（CSCO）</w:t>
      </w:r>
      <w:r>
        <w:rPr>
          <w:rFonts w:hint="eastAsia"/>
          <w:sz w:val="20"/>
          <w:szCs w:val="21"/>
          <w:lang w:val="en-US" w:eastAsia="zh-CN"/>
        </w:rPr>
        <w:t>结直肠</w:t>
      </w:r>
      <w:r>
        <w:rPr>
          <w:rFonts w:hint="eastAsia"/>
          <w:sz w:val="20"/>
          <w:szCs w:val="21"/>
        </w:rPr>
        <w:t>癌诊疗指南202</w:t>
      </w:r>
      <w:r>
        <w:rPr>
          <w:rFonts w:hint="eastAsia"/>
          <w:sz w:val="20"/>
          <w:szCs w:val="21"/>
          <w:lang w:val="en-US" w:eastAsia="zh-CN"/>
        </w:rPr>
        <w:t>3</w:t>
      </w:r>
      <w:r>
        <w:rPr>
          <w:rFonts w:hint="eastAsia"/>
          <w:sz w:val="20"/>
          <w:szCs w:val="21"/>
        </w:rPr>
        <w:t>。</w:t>
      </w:r>
    </w:p>
    <w:p>
      <w:pPr>
        <w:rPr>
          <w:rFonts w:hint="eastAsia"/>
        </w:rPr>
      </w:pPr>
      <w:r>
        <w:rPr>
          <w:rFonts w:hint="eastAsia"/>
        </w:rPr>
        <w:br w:type="page"/>
      </w:r>
    </w:p>
    <w:p>
      <w:pPr>
        <w:spacing w:before="340" w:line="360" w:lineRule="auto"/>
        <w:ind w:firstLine="600" w:firstLineChars="200"/>
        <w:jc w:val="left"/>
        <w:outlineLvl w:val="1"/>
        <w:rPr>
          <w:rFonts w:hint="eastAsia" w:hAnsi="等线" w:cs="Arial"/>
          <w:b/>
          <w:bCs/>
          <w:color w:val="00B0F0"/>
          <w:sz w:val="30"/>
          <w:szCs w:val="30"/>
          <w:lang w:val="en-US" w:eastAsia="zh-CN"/>
        </w:rPr>
      </w:pPr>
      <w:bookmarkStart w:id="107" w:name="遗传性结直肠癌介绍"/>
      <w:bookmarkEnd w:id="107"/>
      <w:r>
        <w:rPr>
          <w:rFonts w:hint="eastAsia" w:hAnsi="等线" w:cs="Arial"/>
          <w:b/>
          <w:bCs/>
          <w:color w:val="00B0F0"/>
          <w:sz w:val="30"/>
          <w:szCs w:val="30"/>
          <w:lang w:val="en-US" w:eastAsia="zh-CN"/>
        </w:rPr>
        <w:drawing>
          <wp:anchor distT="0" distB="0" distL="114300" distR="114300" simplePos="0" relativeHeight="251710464" behindDoc="0" locked="0" layoutInCell="1" allowOverlap="1">
            <wp:simplePos x="0" y="0"/>
            <wp:positionH relativeFrom="column">
              <wp:posOffset>72390</wp:posOffset>
            </wp:positionH>
            <wp:positionV relativeFrom="paragraph">
              <wp:posOffset>60960</wp:posOffset>
            </wp:positionV>
            <wp:extent cx="277495" cy="277495"/>
            <wp:effectExtent l="0" t="0" r="12065" b="12065"/>
            <wp:wrapNone/>
            <wp:docPr id="1051" name="图片 37" descr="资源 1@41"/>
            <wp:cNvGraphicFramePr/>
            <a:graphic xmlns:a="http://schemas.openxmlformats.org/drawingml/2006/main">
              <a:graphicData uri="http://schemas.openxmlformats.org/drawingml/2006/picture">
                <pic:pic xmlns:pic="http://schemas.openxmlformats.org/drawingml/2006/picture">
                  <pic:nvPicPr>
                    <pic:cNvPr id="37" name="图片 37" descr="资源 1@41"/>
                    <pic:cNvPicPr/>
                  </pic:nvPicPr>
                  <pic:blipFill>
                    <a:blip r:embed="rId15"/>
                    <a:stretch>
                      <a:fillRect/>
                    </a:stretch>
                  </pic:blipFill>
                  <pic:spPr>
                    <a:xfrm>
                      <a:off x="0" y="0"/>
                      <a:ext cx="277495" cy="277495"/>
                    </a:xfrm>
                    <a:prstGeom prst="rect">
                      <a:avLst/>
                    </a:prstGeom>
                  </pic:spPr>
                </pic:pic>
              </a:graphicData>
            </a:graphic>
          </wp:anchor>
        </w:drawing>
      </w:r>
      <w:r>
        <w:rPr>
          <w:rFonts w:hint="eastAsia" w:hAnsi="等线" w:cs="Arial"/>
          <w:b/>
          <w:bCs/>
          <w:color w:val="00B0F0"/>
          <w:sz w:val="30"/>
          <w:szCs w:val="30"/>
          <w:lang w:val="en-US" w:eastAsia="zh-CN"/>
        </w:rPr>
        <w:t>遗传性结直肠癌综合征介绍</w:t>
      </w:r>
    </w:p>
    <w:tbl>
      <w:tblPr>
        <w:tblStyle w:val="66"/>
        <w:tblW w:w="0" w:type="auto"/>
        <w:jc w:val="center"/>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Layout w:type="fixed"/>
        <w:tblCellMar>
          <w:top w:w="0" w:type="dxa"/>
          <w:left w:w="108" w:type="dxa"/>
          <w:bottom w:w="0" w:type="dxa"/>
          <w:right w:w="108" w:type="dxa"/>
        </w:tblCellMar>
      </w:tblPr>
      <w:tblGrid>
        <w:gridCol w:w="2731"/>
        <w:gridCol w:w="1529"/>
        <w:gridCol w:w="5522"/>
      </w:tblGrid>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67" w:hRule="atLeast"/>
          <w:tblHeader/>
          <w:jc w:val="center"/>
        </w:trPr>
        <w:tc>
          <w:tcPr>
            <w:tcW w:w="2731"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hAnsi="等线"/>
                <w:b/>
                <w:bCs/>
                <w:color w:val="FFFFFF"/>
                <w:sz w:val="24"/>
                <w:szCs w:val="24"/>
                <w:lang w:val="en-US" w:eastAsia="zh-CN"/>
              </w:rPr>
            </w:pPr>
            <w:r>
              <w:rPr>
                <w:rFonts w:hint="eastAsia" w:hAnsi="等线"/>
                <w:b/>
                <w:bCs/>
                <w:color w:val="FFFFFF"/>
                <w:sz w:val="24"/>
                <w:szCs w:val="24"/>
                <w:lang w:val="en-US" w:eastAsia="zh-CN"/>
              </w:rPr>
              <w:t>综合征名称</w:t>
            </w:r>
          </w:p>
        </w:tc>
        <w:tc>
          <w:tcPr>
            <w:tcW w:w="1529"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hAnsi="等线"/>
                <w:b/>
                <w:bCs/>
                <w:color w:val="FFFFFF"/>
                <w:sz w:val="24"/>
                <w:szCs w:val="24"/>
                <w:lang w:val="en-US" w:eastAsia="zh-CN"/>
              </w:rPr>
            </w:pPr>
            <w:r>
              <w:rPr>
                <w:rFonts w:hint="eastAsia" w:hAnsi="等线"/>
                <w:b/>
                <w:bCs/>
                <w:color w:val="FFFFFF"/>
                <w:sz w:val="24"/>
                <w:szCs w:val="24"/>
                <w:lang w:val="en-US" w:eastAsia="zh-CN"/>
              </w:rPr>
              <w:t>致病基因</w:t>
            </w:r>
          </w:p>
        </w:tc>
        <w:tc>
          <w:tcPr>
            <w:tcW w:w="5522"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hAnsi="等线"/>
                <w:b/>
                <w:bCs/>
                <w:color w:val="FFFFFF"/>
                <w:sz w:val="24"/>
                <w:szCs w:val="24"/>
                <w:lang w:val="en-US" w:eastAsia="zh-CN"/>
              </w:rPr>
            </w:pPr>
            <w:r>
              <w:rPr>
                <w:rFonts w:hint="eastAsia" w:hAnsi="等线"/>
                <w:b/>
                <w:bCs/>
                <w:color w:val="FFFFFF"/>
                <w:sz w:val="24"/>
                <w:szCs w:val="24"/>
                <w:lang w:val="en-US" w:eastAsia="zh-CN"/>
              </w:rPr>
              <w:t>综合征介绍</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Lynch综合征</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MLH1、MSH2、MSH6、PMS2、EPCAM</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林奇综合征（Lynch Syndrome，LS）的临床特征是大肠癌（CRC）和子宫内膜、卵巢、胃、小肠、尿路、胆道、脑（通常是胶质母细胞瘤）、皮肤（皮脂腺瘤、皮脂腺癌和角化棘皮瘤）、乳腺、胰腺和前列腺癌症的风险升高。癌症风险和发病年龄因相关基因而异。LS是一种常染色体显性遗传病，由MLH1、MSH2、MSH6或PMS2的杂合致病变异或EPCAM缺失引起。LS的人群患病率据估计为1:279（MLH1为1:1946，MSH2为1:2841，MSH6为1:758，PMS2为1:714）（PMID: 27799157），EPCAM变异是罕见的（先证者缺失除外）。LS约占3%的CRC和3%的子宫内膜癌（PMID: 23073952，30521064，31150123，32030746）。</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eastAsia" w:hAnsi="等线" w:eastAsia="等线"/>
                <w:b/>
                <w:bCs/>
                <w:sz w:val="20"/>
                <w:szCs w:val="20"/>
                <w:lang w:eastAsia="zh-CN"/>
              </w:rPr>
            </w:pPr>
            <w:r>
              <w:rPr>
                <w:rFonts w:hint="eastAsia" w:hAnsi="等线"/>
                <w:b w:val="0"/>
                <w:bCs w:val="0"/>
                <w:sz w:val="20"/>
                <w:szCs w:val="20"/>
              </w:rPr>
              <w:t>Li-Fraumeni综合征</w:t>
            </w:r>
            <w:r>
              <w:rPr>
                <w:rFonts w:hint="eastAsia" w:hAnsi="等线"/>
                <w:b w:val="0"/>
                <w:bCs w:val="0"/>
                <w:sz w:val="20"/>
                <w:szCs w:val="20"/>
                <w:lang w:eastAsia="zh-CN"/>
              </w:rPr>
              <w:t>（LFS）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TP53</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Li-Fraumeni综合征（Li-Fraumeni Syndrome, LFS）是一种癌症易感性综合征，与各种儿童和成人发病的恶性肿瘤的高风险有关。患有LFS的人终身患癌症的风险，男性为≥70%，女性为≥90%。五种癌症类型占LFS肿瘤的大多数：肾上腺皮质癌、乳腺癌、中枢神经系统肿瘤、骨肉瘤和软组织肉瘤。LFS与另外几种癌症的风险增加有关，包括白血病、淋巴瘤、胃肠道癌症、头颈部癌症、肾脏、喉部、肺部、皮肤（如黑色素瘤）、卵巢、胰腺、前列腺、睾丸和甲状腺。患有LFS的人在童年和青年时期患癌症的风险增加；幸存者患多种原发性癌症的风险增加。LFS是以常染色体显性方式遗传的，大多数被诊断为LFS的个体携带有TP53致病变异。</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家族性腺瘤样息肉病（FAP）</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APC</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sz w:val="18"/>
                <w:szCs w:val="18"/>
                <w:lang w:eastAsia="zh-CN"/>
              </w:rPr>
            </w:pPr>
            <w:r>
              <w:rPr>
                <w:rFonts w:hint="eastAsia"/>
                <w:sz w:val="18"/>
                <w:szCs w:val="18"/>
              </w:rPr>
              <w:t>家族性腺瘤样息肉病（Familial Adenomatous Polyposis，FAP）是一种结肠直肠癌（CRC）易感性综合征，可以表现为典型或减弱的形式。典型FAP的临床特征是有数百至数千个腺瘤性结肠息肉，平均在16岁开始（范围为7-36岁）。95%患者在35岁时就有了息肉；如果不进行结肠切除，CRC是不可避免的。未经治疗患者诊断为CRC的平均年龄为39岁（范围为34-43岁）。衰减型FAP（Attenuated FAP，AFAP）的临床特征是有多个结肠息肉（平均30个），息肉位置较近，而且诊断为CRC的年龄比典型FAP晚。80岁以上AFAP患者患CRC的风险为70%，诊断的平均年龄为50-55岁。结肠外表现各不相同，包括胃和十二指肠的息肉、骨瘤、牙齿异常、视网膜色素上皮的先天性肥大（CHRPE）、良性皮肤病变、变形瘤、肾上腺肿块和其他相关癌症。FAP是一种由APC致病变异导致的常染色体显性遗传病，与结直肠癌、小肠腺癌、胃癌、腹内型硬纤维瘤、甲状腺癌、肝母细胞瘤、CNS癌症（主要为髓母细胞瘤）等癌症风险有关，对FAP患病率的估计从1:6850到1:31250不等（每10万人中有2.29-3.2例）（PMID: 19822006，20921897）。</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MUTYH相关性息肉病（MAP）</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MUTYH</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MUTYH相关性息肉病（MUTYH-associated Polyposis, MAP）的临床特征是结肠直肠癌（CRC）的终身风险大大增加。尽管通常与十到几百个结肠腺瘤性息肉有关，但有些人在没有息肉病的情况下也会发生CRC。锯齿状腺瘤、增生/无柄锯齿状息肉和混合型（增生型和腺瘤型）息肉也可能发生。其他报道的特征包括甲状腺结节、良性肾上腺病变、颌骨囊肿和视网膜色素上皮的先天性肥大。十二指肠腺瘤很常见，十二指肠癌的风险增加。卵巢和膀胱发生恶性肿瘤的风险也会增加，而且有一些证据表明，患乳腺癌和子宫内膜癌的风险也会增加。MAP是一种MUTYH双等位基因胚系致病变异引起的常染色体隐性遗传病。据估计，双等位基因MUTYH胚系致病变异患者的发病率为1:20000至1:60000。MAP占所有CRC的0.7%，占家族性或早发CRC队列的0.5%-6%（PMID: 12606733，19245865，19620482，24620956，27978560）。</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幼年性息肉病（JPS）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BMPR1A、SMAD4</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幼年性息肉病（Juvenile Polyposis Syndrome，JPS）的临床特征是在胃肠道（GI），特别是在胃、小肠、结肠和直肠，容易出现错构瘤性息肉。“Juvenile”一词是指息肉的类型，而不是指息肉发病的年龄。大多数患有JPS的人在20岁时就有一些息肉；有些人在一生中可能只有4或5个息肉，而同一家庭的其他人可能有100多个。如果息肉没有得到治疗，可能会引起出血和贫血。大多数幼年性息肉是良性的；然而，可能发生恶性转化。患消化道癌症的风险从11%到86%不等，这种风险的增加大多归因于结肠癌。JPS患者患有结直肠癌的终身风险高达50%，在有胃息肉的人中胃癌发病风险高达21%。JPS是一种常染色体显性遗传病，致病基因包括BMPR1A和SMAD4，大多数具有SMAD4致病变异的人都有JPS和遗传性出血性毛细血管扩张症（HHT）的综合征。JPS的发病率据估计在1:16000至1:100000之间。</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黑斑息肉病（PJS）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STK11</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黑斑息肉病（Peutz-Jeghers Syndrome, PJS）的临床特征是与胃肠道（GI）息肉病、粘膜色素沉着和癌症易感性有关。PJS型错构瘤性息肉最常见于小肠（按发病率排序：空肠、回肠和十二指肠），但也可发生在胃、大肠和肠外部位，包括肾盂、支气管、胆囊、鼻腔、膀胱和输尿管。胃肠道息肉可导致慢性出血、贫血、复发性梗阻和肠梗阻，需要反复开腹手术和肠道切除。粘膜色素沉着在儿童时期表现为口腔、眼睛和鼻孔周围、肛周和口腔粘膜上的深蓝色至深褐色斑块。手指上的色素沉着斑是常见的。这些斑丘疹在青春期和成年后可能消退。PJS是一种STK11基因致病变异引起的常染色体显性遗传病，患有PJS的人患各种上皮性恶性肿瘤（乳腺癌、结直肠癌、胃癌、小肠腺癌、胰腺癌、宫颈癌、卵巢癌、肺癌和睾丸癌）的风险增加。女性有患带环状小管的性索瘤（SCTAT，一种卵巢的良性肿瘤）以及宫颈腺瘤恶性肿瘤（一种罕见的侵略性癌症）的风险；男性偶尔会出现睾丸的大型钙化性Sertoli细胞瘤，它分泌雌激素，如果不治疗，可导致男性乳房发育、骨骼老化，并最终导致身材矮小。</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PTEN错构瘤综合征（PHTS）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PTEN</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sz w:val="18"/>
                <w:szCs w:val="18"/>
              </w:rPr>
            </w:pPr>
            <w:r>
              <w:rPr>
                <w:rFonts w:hint="eastAsia"/>
                <w:sz w:val="18"/>
                <w:szCs w:val="18"/>
              </w:rPr>
              <w:t>PTEN错构瘤综合征（PTEN Hamartoma Tumor Syndrome，PHTS）的典型临床特征是存在错构瘤性肿瘤和胚系PTEN致病变异，为常染色体显性遗传。临床上PHTS包括Cowden综合症（CS）、Bannayan-Riley-Ruvalcaba综合征（BRRS）、PTEN相关Proteus综合征（PS）和PTEN相关Proteus样综合征。CS是一种多发的错构瘤综合征，对甲状腺、乳腺和子宫内膜良性和恶性肿瘤有高度风险，肾细胞癌和结直肠癌、黑色素瘤也被证明在PHTS谱系中；BRRS是一种先天性疾病，其特点是巨头畸形、肠道息肉病、脂肪瘤、血管畸形和龟头阴茎的色素斑；PS是一种复杂的、高度可变的疾病，涉及先天性畸形和多种组织的过度生长；Proteus样综合征没有定义，指的是具有明显的PS临床特征但不符合PS诊断标准的个体。</w:t>
            </w:r>
          </w:p>
        </w:tc>
      </w:tr>
    </w:tbl>
    <w:p>
      <w:pPr>
        <w:rPr>
          <w:rFonts w:hAnsi="等线"/>
          <w:szCs w:val="21"/>
        </w:rPr>
      </w:pPr>
      <w:r>
        <w:rPr>
          <w:rFonts w:hAnsi="等线"/>
          <w:szCs w:val="21"/>
        </w:rPr>
        <w:br w:type="page"/>
      </w:r>
    </w:p>
    <w:p>
      <w:pPr>
        <w:spacing w:before="340" w:line="360" w:lineRule="auto"/>
        <w:jc w:val="left"/>
        <w:outlineLvl w:val="1"/>
        <w:rPr>
          <w:rFonts w:hAnsi="等线" w:cs="Arial"/>
          <w:b/>
          <w:bCs/>
          <w:color w:val="00B0F0"/>
          <w:sz w:val="28"/>
          <w:szCs w:val="28"/>
        </w:rPr>
      </w:pPr>
      <w:bookmarkStart w:id="108" w:name="参考文献"/>
      <w:bookmarkEnd w:id="108"/>
      <w:r>
        <w:rPr>
          <w:rFonts w:hint="eastAsia" w:hAnsi="等线" w:cs="Arial"/>
          <w:b/>
          <w:bCs/>
          <w:color w:val="00B0F0"/>
          <w:sz w:val="28"/>
          <w:szCs w:val="28"/>
        </w:rPr>
        <w:t>参考文献</w:t>
      </w:r>
      <w:bookmarkEnd w:id="104"/>
      <w:bookmarkEnd w:id="105"/>
      <w:bookmarkEnd w:id="106"/>
    </w:p>
    <w:p>
      <w:pPr>
        <w:pStyle w:val="38"/>
        <w:numPr>
          <w:ilvl w:val="0"/>
          <w:numId w:val="20"/>
        </w:numPr>
        <w:snapToGrid w:val="0"/>
        <w:spacing w:line="320" w:lineRule="exact"/>
        <w:ind w:firstLineChars="0"/>
        <w:rPr>
          <w:rFonts w:hAnsi="等线"/>
          <w:sz w:val="18"/>
          <w:szCs w:val="18"/>
        </w:rPr>
      </w:pPr>
      <w:r>
        <w:rPr>
          <w:rFonts w:hint="eastAsia" w:hAnsi="等线"/>
          <w:sz w:val="18"/>
          <w:szCs w:val="18"/>
        </w:rPr>
        <w:t>美国国家综合癌症网络（NCCN）肿瘤临床实践指南.</w:t>
      </w:r>
    </w:p>
    <w:p>
      <w:pPr>
        <w:pStyle w:val="38"/>
        <w:numPr>
          <w:ilvl w:val="0"/>
          <w:numId w:val="20"/>
        </w:numPr>
        <w:snapToGrid w:val="0"/>
        <w:spacing w:line="320" w:lineRule="exact"/>
        <w:ind w:firstLineChars="0"/>
        <w:rPr>
          <w:rFonts w:hint="eastAsia" w:hAnsi="等线"/>
          <w:sz w:val="18"/>
          <w:szCs w:val="18"/>
        </w:rPr>
      </w:pPr>
      <w:r>
        <w:rPr>
          <w:rFonts w:hint="eastAsia" w:hAnsi="等线"/>
          <w:sz w:val="18"/>
          <w:szCs w:val="18"/>
        </w:rPr>
        <w:t>中国临床肿瘤学会（CSCO）</w:t>
      </w:r>
      <w:r>
        <w:rPr>
          <w:rFonts w:hint="eastAsia" w:hAnsi="等线"/>
          <w:sz w:val="18"/>
          <w:szCs w:val="18"/>
          <w:lang w:val="en-US" w:eastAsia="zh-CN"/>
        </w:rPr>
        <w:t>癌症</w:t>
      </w:r>
      <w:r>
        <w:rPr>
          <w:rFonts w:hint="eastAsia" w:hAnsi="等线"/>
          <w:sz w:val="18"/>
          <w:szCs w:val="18"/>
        </w:rPr>
        <w:t>诊疗指南</w:t>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中国</w:t>
      </w:r>
      <w:r>
        <w:rPr>
          <w:rFonts w:hint="eastAsia" w:hAnsi="等线"/>
          <w:sz w:val="18"/>
          <w:szCs w:val="18"/>
          <w:lang w:val="en-US" w:eastAsia="zh-CN"/>
        </w:rPr>
        <w:t>抗癌协会（CACA）</w:t>
      </w:r>
      <w:r>
        <w:rPr>
          <w:rFonts w:hint="eastAsia" w:hAnsi="等线"/>
          <w:sz w:val="18"/>
          <w:szCs w:val="18"/>
        </w:rPr>
        <w:t>肿瘤整合诊治指南</w:t>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 xml:space="preserve">U.S. Food and Drug Administration, Table of Pharmacogenomic Biomarkers in Drug Labeling. Available online at: </w:t>
      </w:r>
      <w:r>
        <w:rPr>
          <w:rFonts w:hAnsi="等线"/>
          <w:sz w:val="18"/>
          <w:szCs w:val="18"/>
        </w:rPr>
        <w:fldChar w:fldCharType="begin"/>
      </w:r>
      <w:r>
        <w:rPr>
          <w:rFonts w:hAnsi="等线"/>
          <w:sz w:val="18"/>
          <w:szCs w:val="18"/>
        </w:rPr>
        <w:instrText xml:space="preserve"> HYPERLINK "http://www.fda.gov/Drugs/ScienceResearch/ResearchAreas/Pharmacogenetics/ucm083378.html" </w:instrText>
      </w:r>
      <w:r>
        <w:rPr>
          <w:rFonts w:hAnsi="等线"/>
          <w:sz w:val="18"/>
          <w:szCs w:val="18"/>
        </w:rPr>
        <w:fldChar w:fldCharType="separate"/>
      </w:r>
      <w:r>
        <w:rPr>
          <w:rStyle w:val="25"/>
          <w:rFonts w:hAnsi="等线"/>
          <w:sz w:val="18"/>
          <w:szCs w:val="18"/>
        </w:rPr>
        <w:t>http://www.fda.gov/Drugs/ScienceResearch/ResearchAreas/Pharmacogenetics/ucm083378.htm</w:t>
      </w:r>
      <w:r>
        <w:rPr>
          <w:rStyle w:val="25"/>
          <w:rFonts w:hint="eastAsia" w:hAnsi="等线"/>
          <w:sz w:val="18"/>
          <w:szCs w:val="18"/>
        </w:rPr>
        <w:t>l</w:t>
      </w:r>
      <w:r>
        <w:rPr>
          <w:rFonts w:hAnsi="等线"/>
          <w:sz w:val="18"/>
          <w:szCs w:val="18"/>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OncoKB</w:t>
      </w:r>
      <w:r>
        <w:rPr>
          <w:rFonts w:hint="eastAsia" w:hAnsi="等线"/>
          <w:sz w:val="18"/>
          <w:szCs w:val="18"/>
          <w:vertAlign w:val="superscript"/>
        </w:rPr>
        <w:t>TM</w:t>
      </w:r>
      <w:r>
        <w:rPr>
          <w:rFonts w:hint="eastAsia" w:hAnsi="等线"/>
          <w:sz w:val="18"/>
          <w:szCs w:val="18"/>
          <w:vertAlign w:val="superscript"/>
          <w:lang w:val="en-US" w:eastAsia="zh-CN"/>
        </w:rPr>
        <w:t xml:space="preserve"> </w:t>
      </w:r>
      <w:r>
        <w:rPr>
          <w:rFonts w:hint="eastAsia" w:hAnsi="等线"/>
          <w:sz w:val="18"/>
          <w:szCs w:val="18"/>
          <w:vertAlign w:val="baseline"/>
          <w:lang w:val="en-US" w:eastAsia="zh-CN"/>
        </w:rPr>
        <w:t xml:space="preserve">at. </w:t>
      </w:r>
      <w:r>
        <w:rPr>
          <w:rFonts w:hint="eastAsia" w:hAnsi="等线"/>
          <w:sz w:val="18"/>
          <w:szCs w:val="18"/>
          <w:vertAlign w:val="baseline"/>
          <w:lang w:val="en-US" w:eastAsia="zh-CN"/>
        </w:rPr>
        <w:fldChar w:fldCharType="begin"/>
      </w:r>
      <w:r>
        <w:rPr>
          <w:rFonts w:hint="eastAsia" w:hAnsi="等线"/>
          <w:sz w:val="18"/>
          <w:szCs w:val="18"/>
          <w:vertAlign w:val="baseline"/>
          <w:lang w:val="en-US" w:eastAsia="zh-CN"/>
        </w:rPr>
        <w:instrText xml:space="preserve"> HYPERLINK "https://www.oncokb.org/" </w:instrText>
      </w:r>
      <w:r>
        <w:rPr>
          <w:rFonts w:hint="eastAsia" w:hAnsi="等线"/>
          <w:sz w:val="18"/>
          <w:szCs w:val="18"/>
          <w:vertAlign w:val="baseline"/>
          <w:lang w:val="en-US" w:eastAsia="zh-CN"/>
        </w:rPr>
        <w:fldChar w:fldCharType="separate"/>
      </w:r>
      <w:r>
        <w:rPr>
          <w:rStyle w:val="25"/>
          <w:rFonts w:hint="eastAsia" w:hAnsi="等线"/>
          <w:sz w:val="18"/>
          <w:szCs w:val="18"/>
          <w:vertAlign w:val="baseline"/>
          <w:lang w:val="en-US" w:eastAsia="zh-CN"/>
        </w:rPr>
        <w:t>https://www.oncokb.org/</w:t>
      </w:r>
      <w:r>
        <w:rPr>
          <w:rFonts w:hint="eastAsia" w:hAnsi="等线"/>
          <w:sz w:val="18"/>
          <w:szCs w:val="18"/>
          <w:vertAlign w:val="baseline"/>
          <w:lang w:val="en-US" w:eastAsia="zh-CN"/>
        </w:rPr>
        <w:fldChar w:fldCharType="end"/>
      </w:r>
      <w:r>
        <w:rPr>
          <w:rFonts w:hint="eastAsia" w:hAnsi="等线"/>
          <w:sz w:val="18"/>
          <w:szCs w:val="18"/>
          <w:vertAlign w:val="baseline"/>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lang w:val="en-US" w:eastAsia="zh-CN"/>
        </w:rPr>
        <w:t xml:space="preserve">CIViC at. </w:t>
      </w:r>
      <w:r>
        <w:rPr>
          <w:rFonts w:hint="eastAsia" w:hAnsi="等线"/>
          <w:sz w:val="18"/>
          <w:szCs w:val="18"/>
          <w:lang w:val="en-US" w:eastAsia="zh-CN"/>
        </w:rPr>
        <w:fldChar w:fldCharType="begin"/>
      </w:r>
      <w:r>
        <w:rPr>
          <w:rFonts w:hint="eastAsia" w:hAnsi="等线"/>
          <w:sz w:val="18"/>
          <w:szCs w:val="18"/>
          <w:lang w:val="en-US" w:eastAsia="zh-CN"/>
        </w:rPr>
        <w:instrText xml:space="preserve"> HYPERLINK "https://civicdb.org/welcome" </w:instrText>
      </w:r>
      <w:r>
        <w:rPr>
          <w:rFonts w:hint="eastAsia" w:hAnsi="等线"/>
          <w:sz w:val="18"/>
          <w:szCs w:val="18"/>
          <w:lang w:val="en-US" w:eastAsia="zh-CN"/>
        </w:rPr>
        <w:fldChar w:fldCharType="separate"/>
      </w:r>
      <w:r>
        <w:rPr>
          <w:rStyle w:val="25"/>
          <w:rFonts w:hint="eastAsia" w:hAnsi="等线"/>
          <w:sz w:val="18"/>
          <w:szCs w:val="18"/>
          <w:lang w:val="en-US" w:eastAsia="zh-CN"/>
        </w:rPr>
        <w:t>https://civicdb.org/welcome</w:t>
      </w:r>
      <w:r>
        <w:rPr>
          <w:rFonts w:hint="eastAsia" w:hAnsi="等线"/>
          <w:sz w:val="18"/>
          <w:szCs w:val="18"/>
          <w:lang w:val="en-US" w:eastAsia="zh-CN"/>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My Cancer Genome at</w:t>
      </w:r>
      <w:r>
        <w:rPr>
          <w:rFonts w:hint="eastAsia" w:hAnsi="等线"/>
          <w:sz w:val="18"/>
          <w:szCs w:val="18"/>
          <w:lang w:val="en-US" w:eastAsia="zh-CN"/>
        </w:rPr>
        <w:t>.</w:t>
      </w:r>
      <w:r>
        <w:rPr>
          <w:rFonts w:hAnsi="等线"/>
          <w:sz w:val="18"/>
          <w:szCs w:val="18"/>
        </w:rPr>
        <w:t xml:space="preserve"> </w:t>
      </w:r>
      <w:r>
        <w:rPr>
          <w:rStyle w:val="25"/>
          <w:rFonts w:hAnsi="等线"/>
          <w:sz w:val="18"/>
          <w:szCs w:val="18"/>
        </w:rPr>
        <w:t>http://www.mycancergenome.org</w:t>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Personalized Cancer Therapy: Knowledge Base for Precision Oncology at. </w:t>
      </w:r>
      <w:r>
        <w:fldChar w:fldCharType="begin"/>
      </w:r>
      <w:r>
        <w:instrText xml:space="preserve"> HYPERLINK "https://pct.mdanderson.org/" \l "/home" </w:instrText>
      </w:r>
      <w:r>
        <w:fldChar w:fldCharType="separate"/>
      </w:r>
      <w:r>
        <w:rPr>
          <w:rStyle w:val="25"/>
          <w:rFonts w:hint="eastAsia" w:hAnsi="等线"/>
          <w:sz w:val="18"/>
          <w:szCs w:val="18"/>
        </w:rPr>
        <w:t>https://pct.mdanderson.org/#/home</w:t>
      </w:r>
      <w:r>
        <w:rPr>
          <w:rStyle w:val="25"/>
          <w:rFonts w:hint="eastAsia" w:hAnsi="等线"/>
          <w:sz w:val="18"/>
          <w:szCs w:val="18"/>
        </w:rPr>
        <w:fldChar w:fldCharType="end"/>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ClinicalTrials.gov at. </w:t>
      </w:r>
      <w:r>
        <w:rPr>
          <w:rFonts w:hint="eastAsia" w:hAnsi="等线"/>
          <w:sz w:val="18"/>
          <w:szCs w:val="18"/>
        </w:rPr>
        <w:fldChar w:fldCharType="begin"/>
      </w:r>
      <w:r>
        <w:rPr>
          <w:rFonts w:hint="eastAsia" w:hAnsi="等线"/>
          <w:sz w:val="18"/>
          <w:szCs w:val="18"/>
        </w:rPr>
        <w:instrText xml:space="preserve"> HYPERLINK "https://clinicaltrials.gov/ct2/home" </w:instrText>
      </w:r>
      <w:r>
        <w:rPr>
          <w:rFonts w:hint="eastAsia" w:hAnsi="等线"/>
          <w:sz w:val="18"/>
          <w:szCs w:val="18"/>
        </w:rPr>
        <w:fldChar w:fldCharType="separate"/>
      </w:r>
      <w:r>
        <w:rPr>
          <w:rStyle w:val="25"/>
          <w:rFonts w:hint="eastAsia" w:hAnsi="等线"/>
          <w:sz w:val="18"/>
          <w:szCs w:val="18"/>
        </w:rPr>
        <w:t>https://clinicaltrials.gov/ct2/home</w:t>
      </w:r>
      <w:r>
        <w:rPr>
          <w:rFonts w:hint="eastAsia" w:hAnsi="等线"/>
          <w:sz w:val="18"/>
          <w:szCs w:val="18"/>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 xml:space="preserve">PharmGKB: The Pharmacogenomics Knowledgebase. Available online at: </w:t>
      </w:r>
      <w:r>
        <w:fldChar w:fldCharType="begin"/>
      </w:r>
      <w:r>
        <w:instrText xml:space="preserve"> HYPERLINK "http://www.pharmgkb.org/index.jsp" </w:instrText>
      </w:r>
      <w:r>
        <w:fldChar w:fldCharType="separate"/>
      </w:r>
      <w:r>
        <w:rPr>
          <w:rStyle w:val="25"/>
          <w:rFonts w:hAnsi="等线"/>
          <w:sz w:val="18"/>
          <w:szCs w:val="18"/>
        </w:rPr>
        <w:t>http://www.pharmgkb.org/index.jsp</w:t>
      </w:r>
      <w:r>
        <w:rPr>
          <w:rStyle w:val="25"/>
          <w:rFonts w:hAnsi="等线"/>
          <w:sz w:val="18"/>
          <w:szCs w:val="18"/>
        </w:rPr>
        <w:fldChar w:fldCharType="end"/>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Clinical Pharmacogenetics Implementation Consortium (CPIC</w:t>
      </w:r>
      <w:r>
        <w:rPr>
          <w:rFonts w:hint="eastAsia" w:hAnsi="等线"/>
          <w:sz w:val="18"/>
          <w:szCs w:val="18"/>
          <w:vertAlign w:val="superscript"/>
        </w:rPr>
        <w:t>®</w:t>
      </w:r>
      <w:r>
        <w:rPr>
          <w:rFonts w:hint="eastAsia" w:hAnsi="等线"/>
          <w:sz w:val="18"/>
          <w:szCs w:val="18"/>
        </w:rPr>
        <w:t>)</w:t>
      </w:r>
      <w:r>
        <w:rPr>
          <w:rFonts w:hint="eastAsia" w:hAnsi="等线"/>
          <w:sz w:val="18"/>
          <w:szCs w:val="18"/>
          <w:lang w:val="en-US" w:eastAsia="zh-CN"/>
        </w:rPr>
        <w:t xml:space="preserve">. Available online at: </w:t>
      </w:r>
      <w:r>
        <w:rPr>
          <w:rFonts w:hint="eastAsia" w:hAnsi="等线"/>
          <w:sz w:val="18"/>
          <w:szCs w:val="18"/>
          <w:lang w:val="en-US" w:eastAsia="zh-CN"/>
        </w:rPr>
        <w:fldChar w:fldCharType="begin"/>
      </w:r>
      <w:r>
        <w:rPr>
          <w:rFonts w:hint="eastAsia" w:hAnsi="等线"/>
          <w:sz w:val="18"/>
          <w:szCs w:val="18"/>
          <w:lang w:val="en-US" w:eastAsia="zh-CN"/>
        </w:rPr>
        <w:instrText xml:space="preserve"> HYPERLINK "https://cpicpgx.org/" </w:instrText>
      </w:r>
      <w:r>
        <w:rPr>
          <w:rFonts w:hint="eastAsia" w:hAnsi="等线"/>
          <w:sz w:val="18"/>
          <w:szCs w:val="18"/>
          <w:lang w:val="en-US" w:eastAsia="zh-CN"/>
        </w:rPr>
        <w:fldChar w:fldCharType="separate"/>
      </w:r>
      <w:r>
        <w:rPr>
          <w:rStyle w:val="25"/>
          <w:rFonts w:hint="eastAsia" w:hAnsi="等线"/>
          <w:sz w:val="18"/>
          <w:szCs w:val="18"/>
          <w:lang w:val="en-US" w:eastAsia="zh-CN"/>
        </w:rPr>
        <w:t>https://cpicpgx.org/</w:t>
      </w:r>
      <w:r>
        <w:rPr>
          <w:rFonts w:hint="eastAsia" w:hAnsi="等线"/>
          <w:sz w:val="18"/>
          <w:szCs w:val="18"/>
          <w:lang w:val="en-US" w:eastAsia="zh-CN"/>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Lovly, C., L. Horn, W. Pao. (2016). Molecular Profiling of Lung Cancer. My Cancer Genome https://www.mycancergenome.org/content/disease/lung-cancer/ (Updated March 28).</w:t>
      </w:r>
    </w:p>
    <w:p>
      <w:pPr>
        <w:pStyle w:val="38"/>
        <w:numPr>
          <w:ilvl w:val="0"/>
          <w:numId w:val="20"/>
        </w:numPr>
        <w:snapToGrid w:val="0"/>
        <w:spacing w:line="320" w:lineRule="exact"/>
        <w:ind w:firstLineChars="0"/>
        <w:rPr>
          <w:rFonts w:hAnsi="等线"/>
          <w:sz w:val="18"/>
          <w:szCs w:val="18"/>
        </w:rPr>
      </w:pPr>
      <w:r>
        <w:rPr>
          <w:rFonts w:hint="eastAsia" w:hAnsi="等线"/>
          <w:sz w:val="18"/>
          <w:szCs w:val="18"/>
        </w:rPr>
        <w:t>中国临床肿瘤学会结直肠癌专家委员会，中国抗癌协会大肠癌专业委员会遗传学组，中国医师协会结直肠肿瘤专业委员会遗传专委会(2019).结直肠癌及其他相关实体瘤微卫星不稳定性检测中国专家共识. 中华肿瘤杂志(10),734-735-736-737-738-739-740-741.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Adam MP, Mirzaa GM, Pagon RA, et al., editors. GeneReviews® [Internet]. Seattle (WA): University of Washington, Seattle; 1993-2023. Available from: </w:t>
      </w:r>
      <w:r>
        <w:rPr>
          <w:rFonts w:hint="eastAsia" w:hAnsi="等线"/>
          <w:sz w:val="18"/>
          <w:szCs w:val="18"/>
        </w:rPr>
        <w:fldChar w:fldCharType="begin"/>
      </w:r>
      <w:r>
        <w:rPr>
          <w:rFonts w:hint="eastAsia" w:hAnsi="等线"/>
          <w:sz w:val="18"/>
          <w:szCs w:val="18"/>
        </w:rPr>
        <w:instrText xml:space="preserve"> HYPERLINK "https://www.ncbi.nlm.nih.gov/books/NBK1116/." </w:instrText>
      </w:r>
      <w:r>
        <w:rPr>
          <w:rFonts w:hint="eastAsia" w:hAnsi="等线"/>
          <w:sz w:val="18"/>
          <w:szCs w:val="18"/>
        </w:rPr>
        <w:fldChar w:fldCharType="separate"/>
      </w:r>
      <w:r>
        <w:rPr>
          <w:rStyle w:val="25"/>
          <w:rFonts w:hint="eastAsia" w:hAnsi="等线"/>
          <w:sz w:val="18"/>
          <w:szCs w:val="18"/>
        </w:rPr>
        <w:t>https://www.ncbi.nlm.nih.gov/books/NBK1116/</w:t>
      </w:r>
      <w:r>
        <w:rPr>
          <w:rStyle w:val="25"/>
          <w:rFonts w:hint="eastAsia" w:hAnsi="等线"/>
          <w:sz w:val="18"/>
          <w:szCs w:val="18"/>
          <w:lang w:val="en-US" w:eastAsia="zh-CN"/>
        </w:rPr>
        <w:t>.</w:t>
      </w:r>
      <w:r>
        <w:rPr>
          <w:rFonts w:hint="eastAsia" w:hAnsi="等线"/>
          <w:sz w:val="18"/>
          <w:szCs w:val="18"/>
        </w:rPr>
        <w:fldChar w:fldCharType="end"/>
      </w:r>
    </w:p>
    <w:p>
      <w:pPr>
        <w:pStyle w:val="38"/>
        <w:numPr>
          <w:ilvl w:val="0"/>
          <w:numId w:val="20"/>
        </w:numPr>
        <w:snapToGrid w:val="0"/>
        <w:spacing w:line="320" w:lineRule="exact"/>
        <w:ind w:firstLineChars="0"/>
        <w:rPr>
          <w:rFonts w:hAnsi="等线"/>
          <w:sz w:val="18"/>
          <w:szCs w:val="18"/>
        </w:rPr>
      </w:pPr>
      <w:r>
        <w:rPr>
          <w:rFonts w:hint="eastAsia" w:hAnsi="等线"/>
          <w:sz w:val="18"/>
          <w:szCs w:val="18"/>
        </w:rPr>
        <w:t>Dienstmann, R., Vermeulen, L., Guinney, J., Kopetz, S., Tejpar, S.,  Tabernero, J. (2017). Consensus molecular subtypes and the evolution of precision medicine in colorectal cancer. Nature reviews. Cancer, 17(2), 79–92.</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Ciardiello, F., Ciardiello, D., Martini, G., Napolitano, S., Tabernero, J.,  Cervantes, A. (2022). Clinical management of metastatic colorectal cancer in the era of precision medicine. CA: a cancer journal for clinicians, 72(4), 372–401.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Di Nicolantonio, F., Vitiello, P. P., Marsoni, S., Siena, S., Tabernero, J., Trusolino, L., Bernards, R.,  Bardelli, A. (2021). Precision oncology in metastatic colorectal cancer - from biology to medicine. Nature reviews. Clinical oncology, 18(8), 506–525.</w:t>
      </w:r>
    </w:p>
    <w:p>
      <w:pPr>
        <w:pStyle w:val="38"/>
        <w:numPr>
          <w:ilvl w:val="0"/>
          <w:numId w:val="20"/>
        </w:numPr>
        <w:snapToGrid w:val="0"/>
        <w:spacing w:line="320" w:lineRule="exact"/>
        <w:ind w:firstLineChars="0"/>
        <w:rPr>
          <w:rFonts w:hAnsi="等线"/>
          <w:sz w:val="18"/>
          <w:szCs w:val="18"/>
        </w:rPr>
      </w:pPr>
      <w:r>
        <w:rPr>
          <w:rFonts w:hint="eastAsia" w:hAnsi="等线"/>
          <w:sz w:val="18"/>
          <w:szCs w:val="18"/>
        </w:rPr>
        <w:t>Pietrantonio, F., Di Nicolantonio, F., Schrock, A. B., Lee, J., Tejpar, S., Sartore-Bianchi, A., Hechtman, J. F., Christiansen, J., Novara, L., Tebbutt, N., Fucà, G., Antoniotti, C., Kim, S. T., Murphy, D., Berenato, R., Morano, F., Sun, J., Min, B., Stephens, P. J., Chen, M., … Cremolini, C. (2017). ALK, ROS1, and NTRK Rearrangements in Metastatic Colorectal Cancer. Journal of the National Cancer Institute, 109(12), 10.1093/jnci/djx089.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Grothey, A., Fakih, M.,  Tabernero, J. (2021). Management of BRAF-mutant metastatic colorectal cancer: a review of treatment options and evidence-based guidelines. Annals of oncology : official journal of the European Society for Medical Oncology, 32(8), 959–967.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Morris, V. K., Kennedy, E. B., Baxter, N. N., Benson, A. B., 3rd, Cercek, A., Cho, M., Ciombor, K. K., Cremolini, C., Davis, A., Deming, D. A., Fakih, M. G., Gholami, S., Hong, T. S., Jaiyesimi, I., Klute, K., Lieu, C., Sanoff, H., Strickler, J. H., White, S., Willis, J. A., … Eng, C. (2023). Treatment of Metastatic Colorectal Cancer: ASCO Guideline. Journal of clinical oncology : official journal of the American Society of Clinical Oncology, 41(3), 678–700.</w:t>
      </w:r>
    </w:p>
    <w:p>
      <w:pPr>
        <w:pStyle w:val="38"/>
        <w:numPr>
          <w:ilvl w:val="0"/>
          <w:numId w:val="20"/>
        </w:numPr>
        <w:snapToGrid w:val="0"/>
        <w:spacing w:line="320" w:lineRule="exact"/>
        <w:ind w:firstLineChars="0"/>
        <w:rPr>
          <w:rFonts w:hAnsi="等线"/>
          <w:sz w:val="18"/>
          <w:szCs w:val="18"/>
        </w:rPr>
      </w:pPr>
      <w:r>
        <w:rPr>
          <w:rFonts w:hint="eastAsia" w:hAnsi="等线"/>
          <w:sz w:val="18"/>
          <w:szCs w:val="18"/>
        </w:rPr>
        <w:t>Zhu, G., Pei, L., Xia, H., Tang, Q.,  Bi, F. (2021). Role of oncogenic KRAS in the prognosis, diagnosis and treatment of colorectal cancer. Molecular cancer, 20(1), 143.</w:t>
      </w:r>
    </w:p>
    <w:p>
      <w:pPr>
        <w:pStyle w:val="38"/>
        <w:numPr>
          <w:ilvl w:val="0"/>
          <w:numId w:val="20"/>
        </w:numPr>
        <w:snapToGrid w:val="0"/>
        <w:spacing w:line="320" w:lineRule="exact"/>
        <w:ind w:firstLineChars="0"/>
        <w:rPr>
          <w:rFonts w:hint="eastAsia" w:hAnsi="等线"/>
          <w:sz w:val="18"/>
          <w:szCs w:val="18"/>
        </w:rPr>
      </w:pPr>
      <w:r>
        <w:rPr>
          <w:rFonts w:hint="eastAsia" w:hAnsi="等线"/>
          <w:sz w:val="18"/>
          <w:szCs w:val="18"/>
        </w:rPr>
        <w:t>Suwaidan, A. A., Lau, D. K.,  Chau, I. (2022). HER2 targeted therapy in colorectal cancer: New horizons. Cancer treatment reviews, 105, 102363.</w:t>
      </w:r>
    </w:p>
    <w:p>
      <w:pPr>
        <w:pStyle w:val="38"/>
        <w:numPr>
          <w:ilvl w:val="0"/>
          <w:numId w:val="20"/>
        </w:numPr>
        <w:snapToGrid w:val="0"/>
        <w:spacing w:line="320" w:lineRule="exact"/>
        <w:ind w:firstLineChars="0"/>
        <w:rPr>
          <w:rFonts w:hAnsi="等线"/>
          <w:sz w:val="18"/>
          <w:szCs w:val="18"/>
        </w:rPr>
      </w:pPr>
      <w:r>
        <w:rPr>
          <w:rFonts w:hint="eastAsia" w:hAnsi="等线"/>
          <w:sz w:val="18"/>
          <w:szCs w:val="18"/>
        </w:rPr>
        <w:t>Siena, S., Di Bartolomeo, M., Raghav, K., Masuishi, T., Loupakis, F., Kawakami, H., Yamaguchi, K., Nishina, T., Fakih, M., Elez, E., Rodriguez, J., Ciardiello, F., Komatsu, Y., Esaki, T., Chung, K., Wainberg, Z., Sartore-Bianchi, A., Saxena, K., Yamamoto, E., Bako, E., … DESTINY-CRC01 investigators (2021). Trastuzumab deruxtecan (DS-8201) in patients with HER2-expressing metastatic colorectal cancer (DESTINY-CRC01): a multicentre, open-label, phase 2 trial. The Lancet. Oncology, 22(6), 779–789.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Cocco, E., Scaltriti, M.,  Drilon, A. (2018). NTRK fusion-positive cancers and TRK inhibitor therapy. Nature reviews. Clinical oncology, 15(12), 731–747.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Drilon, A., Hu, Z. I., Lai, G. G. Y.,  Tan, D. S. W. (2018). Targeting RET-driven cancers: lessons from evolving preclinical and clinical landscapes. Nature reviews. Clinical oncology, 15(3), 151–167.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Infante, J. R., Fecher, L. A., Falchook, G. S., Nallapareddy, S., Gordon, M. S., Becerra, C., DeMarini, D. J., Cox, D. S., Xu, Y., Morris, S. R., Peddareddigari, V. G., Le, N. T., Hart, L., Bendell, J. C., Eckhardt, G., Kurzrock, R., Flaherty, K., Burris, H. A., 3rd,  Messersmith, W. A. (2012). Safety, pharmacokinetic, pharmacodynamic, and efficacy data for the oral MEK inhibitor trametinib: a phase 1 dose-escalation trial. The Lancet. Oncology, 13(8), 773–781.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Yap, T. A., O'Carrigan, B., Penney, M. S., Lim, J. S., Brown, J. S., de Miguel Luken, M. J., Tunariu, N., Perez-Lopez, R., Rodrigues, D. N., Riisnaes, R., Figueiredo, I., Carreira, S., Hare, B., McDermott, K., Khalique, S., Williamson, C. T., Natrajan, R., Pettitt, S. J., Lord, C. J., Banerji, U., … de Bono, J. S. (2020). Phase I Trial of First-in-Class ATR Inhibitor M6620 (VX-970) as Monotherapy or in Combination With Carboplatin in Patients With Advanced Solid Tumors. Journal of clinical oncology : official journal of the American Society of Clinical Oncology, 38(27), 3195–3204.</w:t>
      </w:r>
    </w:p>
    <w:p>
      <w:pPr>
        <w:pStyle w:val="38"/>
        <w:numPr>
          <w:ilvl w:val="0"/>
          <w:numId w:val="20"/>
        </w:numPr>
        <w:snapToGrid w:val="0"/>
        <w:spacing w:line="320" w:lineRule="exact"/>
        <w:ind w:firstLineChars="0"/>
        <w:rPr>
          <w:rFonts w:hAnsi="等线"/>
          <w:sz w:val="18"/>
          <w:szCs w:val="18"/>
        </w:rPr>
      </w:pPr>
      <w:r>
        <w:rPr>
          <w:rFonts w:hint="eastAsia" w:hAnsi="等线"/>
          <w:sz w:val="18"/>
          <w:szCs w:val="18"/>
        </w:rPr>
        <w:t>Van Cutsem, E., Huijberts, S., Grothey, A., Yaeger, R., Cuyle, P. J., Elez, E., Fakih, M., Montagut, C., Peeters, M., Yoshino, T., Wasan, H., Desai, J., Ciardiello, F., Gollerkeri, A., Christy-Bittel, J., Maharry, K., Sandor, V., Schellens, J. H. M., Kopetz, S.,  Tabernero, J. (2019). Binimetinib, Encorafenib, and Cetuximab Triplet Therapy for Patients With BRAF V600E-Mutant Metastatic Colorectal Cancer: Safety Lead-In Results From the Phase III BEACON Colorectal Cancer Study. Journal of clinical oncology : official journal of the American Society of Clinical Oncology, 37(17), 1460–1469.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Russo, M., Siravegna, G., Blaszkowsky, L. S., Corti, G., Crisafulli, G., Ahronian, L. G., Mussolin, B., Kwak, E. L., Buscarino, M., Lazzari, L., Valtorta, E., Truini, M., Jessop, N. A., Robinson, H. E., Hong, T. S., Mino-Kenudson, M., Di Nicolantonio, F., Thabet, A., Sartore-Bianchi, A., Siena, S., … Corcoran, R. B. (2016). Tumor Heterogeneity and Lesion-Specific Response to Targeted Therapy in Colorectal Cancer. Cancer discovery, 6(2), 147–153.</w:t>
      </w:r>
    </w:p>
    <w:p>
      <w:pPr>
        <w:pStyle w:val="38"/>
        <w:numPr>
          <w:ilvl w:val="0"/>
          <w:numId w:val="20"/>
        </w:numPr>
        <w:snapToGrid w:val="0"/>
        <w:spacing w:line="320" w:lineRule="exact"/>
        <w:ind w:firstLineChars="0"/>
        <w:rPr>
          <w:rFonts w:hAnsi="等线"/>
          <w:sz w:val="18"/>
          <w:szCs w:val="18"/>
        </w:rPr>
      </w:pPr>
      <w:r>
        <w:rPr>
          <w:rFonts w:hint="eastAsia" w:hAnsi="等线"/>
          <w:sz w:val="18"/>
          <w:szCs w:val="18"/>
        </w:rPr>
        <w:t>Toledo, R. A., Garralda, E., Mitsi, M., Pons, T., Monsech, J., Vega, E., Otero, Á., Albarran, M. I., Baños, N., Durán, Y., Bonilla, V., Sarno, F., Camacho-Artacho, M., Sanchez-Perez, T., Perea, S., Álvarez, R., De Martino, A., Lietha, D., Blanco-Aparicio, C., Cubillo, A., … Hidalgo, M. (2018). Exome Sequencing of Plasma DNA Portrays the Mutation Landscape of Colorectal Cancer and Discovers Mutated VEGFR2 Receptors as Modulators of Antiangiogenic Therapies. Clinical cancer research : an official journal of the American Association for Cancer Research, 24(15), 3550–3559.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Xu, J. M., Wang, Y., Wang, Y. L., Wang, Y., Liu, T., Ni, M., Li, M. S., Lin, L., Ge, F. J., Gong, C., Gu, J. Y., Jia, R., Wang, H. F., Chen, Y. L., Liu, R. R., Zhao, C. H., Tan, Z. L., Jin, Y., Zhu, Y. P., Ogino, S., … Qian, Z. R. (2017). PIK3CA Mutations Contribute to Acquired Cetuximab Resistance in Patients with Metastatic Colorectal Cancer. Clinical cancer research : an official journal of the American Association for Cancer Research, 23(16), 4602–4616.</w:t>
      </w:r>
    </w:p>
    <w:p>
      <w:pPr>
        <w:pStyle w:val="38"/>
        <w:numPr>
          <w:ilvl w:val="0"/>
          <w:numId w:val="20"/>
        </w:numPr>
        <w:snapToGrid w:val="0"/>
        <w:spacing w:line="320" w:lineRule="exact"/>
        <w:ind w:firstLineChars="0"/>
        <w:rPr>
          <w:rFonts w:hAnsi="等线"/>
          <w:sz w:val="18"/>
          <w:szCs w:val="18"/>
        </w:rPr>
      </w:pPr>
      <w:r>
        <w:rPr>
          <w:rFonts w:hint="eastAsia" w:hAnsi="等线"/>
          <w:sz w:val="18"/>
          <w:szCs w:val="18"/>
        </w:rPr>
        <w:t>Bahleda, R., Meric-Bernstam, F., Goyal, L., Tran, B., He, Y., Yamamiya, I., Benhadji, K. A., Matos, I.,  Arkenau, H. T. (2020). Phase I, first-in-human study of futibatinib, a highly selective, irreversible FGFR1-4 inhibitor in patients with advanced solid tumors. Annals of oncology : official journal of the European Society for Medical Oncology, 31(10), 1405–1412.</w:t>
      </w:r>
    </w:p>
    <w:sectPr>
      <w:headerReference r:id="rId6" w:type="default"/>
      <w:footerReference r:id="rId7" w:type="default"/>
      <w:pgSz w:w="11906" w:h="16838"/>
      <w:pgMar w:top="851" w:right="991" w:bottom="1440" w:left="1276" w:header="510" w:footer="567" w:gutter="0"/>
      <w:pgBorders>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NEU-BZ-Regular">
    <w:altName w:val="Segoe Print"/>
    <w:panose1 w:val="00000000000000000000"/>
    <w:charset w:val="00"/>
    <w:family w:val="auto"/>
    <w:pitch w:val="default"/>
    <w:sig w:usb0="00000000" w:usb1="00000000" w:usb2="00000000" w:usb3="00000000" w:csb0="00000000" w:csb1="00000000"/>
  </w:font>
  <w:font w:name="FZSSK--GBK1-0">
    <w:altName w:val="Segoe Print"/>
    <w:panose1 w:val="00000000000000000000"/>
    <w:charset w:val="00"/>
    <w:family w:val="auto"/>
    <w:pitch w:val="default"/>
    <w:sig w:usb0="00000000" w:usb1="00000000" w:usb2="00000000" w:usb3="00000000" w:csb0="00000000" w:csb1="00000000"/>
  </w:font>
  <w:font w:name="NEU-BZ-Italic">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幼圆">
    <w:panose1 w:val="02010509060101010101"/>
    <w:charset w:val="86"/>
    <w:family w:val="modern"/>
    <w:pitch w:val="default"/>
    <w:sig w:usb0="00000001" w:usb1="080E0000" w:usb2="00000000" w:usb3="00000000" w:csb0="00040000" w:csb1="00000000"/>
  </w:font>
  <w:font w:name="华康黑体W3">
    <w:altName w:val="微软雅黑"/>
    <w:panose1 w:val="00000000000000000000"/>
    <w:charset w:val="86"/>
    <w:family w:val="modern"/>
    <w:pitch w:val="default"/>
    <w:sig w:usb0="00000000" w:usb1="00000000" w:usb2="00000012" w:usb3="00000000" w:csb0="00040000" w:csb1="00000000"/>
  </w:font>
  <w:font w:name="华文细黑">
    <w:panose1 w:val="02010600040101010101"/>
    <w:charset w:val="86"/>
    <w:family w:val="auto"/>
    <w:pitch w:val="default"/>
    <w:sig w:usb0="00000287" w:usb1="080F0000" w:usb2="00000000" w:usb3="00000000" w:csb0="0004009F" w:csb1="DFD70000"/>
  </w:font>
  <w:font w:name="Helvetica">
    <w:altName w:val="Arial"/>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inline distT="0" distB="0" distL="0" distR="0">
              <wp:extent cx="701040" cy="441325"/>
              <wp:effectExtent l="0" t="0" r="0" b="0"/>
              <wp:docPr id="63" name="流程图: 可选过程 63"/>
              <wp:cNvGraphicFramePr/>
              <a:graphic xmlns:a="http://schemas.openxmlformats.org/drawingml/2006/main">
                <a:graphicData uri="http://schemas.microsoft.com/office/word/2010/wordprocessingShape">
                  <wps:wsp>
                    <wps:cNvSpPr>
                      <a:spLocks noChangeArrowheads="1"/>
                    </wps:cNvSpPr>
                    <wps:spPr bwMode="auto">
                      <a:xfrm>
                        <a:off x="0" y="0"/>
                        <a:ext cx="701577" cy="441325"/>
                      </a:xfrm>
                      <a:prstGeom prst="flowChartAlternateProcess">
                        <a:avLst/>
                      </a:prstGeom>
                      <a:noFill/>
                      <a:ln>
                        <a:noFill/>
                      </a:ln>
                    </wps:spPr>
                    <wps:txbx>
                      <w:txbxContent>
                        <w:p>
                          <w:pPr>
                            <w:rPr>
                              <w:sz w:val="20"/>
                              <w:szCs w:val="21"/>
                            </w:rPr>
                          </w:pPr>
                          <w:r>
                            <w:rPr>
                              <w:sz w:val="20"/>
                              <w:szCs w:val="21"/>
                            </w:rPr>
                            <w:fldChar w:fldCharType="begin"/>
                          </w:r>
                          <w:r>
                            <w:rPr>
                              <w:sz w:val="20"/>
                              <w:szCs w:val="21"/>
                            </w:rPr>
                            <w:instrText xml:space="preserve">PAGE  \* Arabic  \* MERGEFORMAT</w:instrText>
                          </w:r>
                          <w:r>
                            <w:rPr>
                              <w:sz w:val="20"/>
                              <w:szCs w:val="21"/>
                            </w:rPr>
                            <w:fldChar w:fldCharType="separate"/>
                          </w:r>
                          <w:r>
                            <w:rPr>
                              <w:sz w:val="20"/>
                              <w:szCs w:val="21"/>
                              <w:lang w:val="zh-CN"/>
                            </w:rPr>
                            <w:t>1</w:t>
                          </w:r>
                          <w:r>
                            <w:rPr>
                              <w:sz w:val="20"/>
                              <w:szCs w:val="21"/>
                            </w:rPr>
                            <w:fldChar w:fldCharType="end"/>
                          </w:r>
                          <w:r>
                            <w:rPr>
                              <w:sz w:val="20"/>
                              <w:szCs w:val="21"/>
                            </w:rPr>
                            <w:t xml:space="preserve"> </w:t>
                          </w:r>
                          <w:r>
                            <w:rPr>
                              <w:sz w:val="20"/>
                              <w:szCs w:val="21"/>
                              <w:lang w:val="zh-CN"/>
                            </w:rPr>
                            <w:t xml:space="preserve">/ </w:t>
                          </w:r>
                          <w:r>
                            <w:rPr>
                              <w:sz w:val="20"/>
                              <w:szCs w:val="21"/>
                            </w:rPr>
                            <w:fldChar w:fldCharType="begin"/>
                          </w:r>
                          <w:r>
                            <w:rPr>
                              <w:sz w:val="20"/>
                              <w:szCs w:val="21"/>
                            </w:rPr>
                            <w:instrText xml:space="preserve"> =</w:instrText>
                          </w:r>
                          <w:r>
                            <w:rPr>
                              <w:sz w:val="20"/>
                              <w:szCs w:val="21"/>
                            </w:rPr>
                            <w:fldChar w:fldCharType="begin"/>
                          </w:r>
                          <w:r>
                            <w:rPr>
                              <w:sz w:val="20"/>
                              <w:szCs w:val="21"/>
                            </w:rPr>
                            <w:instrText xml:space="preserve"> NUMPAGES </w:instrText>
                          </w:r>
                          <w:r>
                            <w:rPr>
                              <w:sz w:val="20"/>
                              <w:szCs w:val="21"/>
                            </w:rPr>
                            <w:fldChar w:fldCharType="separate"/>
                          </w:r>
                          <w:r>
                            <w:rPr>
                              <w:sz w:val="20"/>
                              <w:szCs w:val="21"/>
                            </w:rPr>
                            <w:instrText xml:space="preserve">45</w:instrText>
                          </w:r>
                          <w:r>
                            <w:rPr>
                              <w:sz w:val="20"/>
                              <w:szCs w:val="21"/>
                            </w:rPr>
                            <w:fldChar w:fldCharType="end"/>
                          </w:r>
                          <w:r>
                            <w:rPr>
                              <w:sz w:val="20"/>
                              <w:szCs w:val="21"/>
                            </w:rPr>
                            <w:instrText xml:space="preserve">-</w:instrText>
                          </w:r>
                          <w:r>
                            <w:rPr>
                              <w:rFonts w:hint="eastAsia"/>
                              <w:sz w:val="20"/>
                              <w:szCs w:val="21"/>
                            </w:rPr>
                            <w:instrText xml:space="preserve">2</w:instrText>
                          </w:r>
                          <w:r>
                            <w:rPr>
                              <w:sz w:val="20"/>
                              <w:szCs w:val="21"/>
                            </w:rPr>
                            <w:instrText xml:space="preserve"> </w:instrText>
                          </w:r>
                          <w:r>
                            <w:rPr>
                              <w:sz w:val="20"/>
                              <w:szCs w:val="21"/>
                            </w:rPr>
                            <w:fldChar w:fldCharType="separate"/>
                          </w:r>
                          <w:r>
                            <w:rPr>
                              <w:sz w:val="20"/>
                              <w:szCs w:val="21"/>
                            </w:rPr>
                            <w:t>61</w:t>
                          </w:r>
                          <w:r>
                            <w:rPr>
                              <w:sz w:val="20"/>
                              <w:szCs w:val="21"/>
                            </w:rPr>
                            <w:fldChar w:fldCharType="end"/>
                          </w:r>
                        </w:p>
                      </w:txbxContent>
                    </wps:txbx>
                    <wps:bodyPr rot="0" vert="horz" wrap="square" lIns="91440" tIns="45720" rIns="91440" bIns="45720" anchor="t" anchorCtr="0" upright="1">
                      <a:noAutofit/>
                    </wps:bodyPr>
                  </wps:wsp>
                </a:graphicData>
              </a:graphic>
            </wp:inline>
          </w:drawing>
        </mc:Choice>
        <mc:Fallback>
          <w:pict>
            <v:shape id="_x0000_s1026" o:spid="_x0000_s1026" o:spt="176" type="#_x0000_t176" style="height:34.75pt;width:55.2pt;" filled="f" stroked="f" coordsize="21600,21600" o:gfxdata="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EFqBBPVAAAABAEAAA8AAAAAAAAAAQAgAAAAIgAAAGRycy9kb3ducmV2Lnht&#10;bFBLAQIUABQAAAAIAIdO4kDagZquNQIAAC8EAAAOAAAAAAAAAAEAIAAAACQBAABkcnMvZTJvRG9j&#10;LnhtbFBLBQYAAAAABgAGAFkBAADLBQAAAAA=&#10;">
              <v:fill on="f" focussize="0,0"/>
              <v:stroke on="f"/>
              <v:imagedata o:title=""/>
              <o:lock v:ext="edit" aspectratio="f"/>
              <v:textbox>
                <w:txbxContent>
                  <w:p>
                    <w:pPr>
                      <w:rPr>
                        <w:sz w:val="20"/>
                        <w:szCs w:val="21"/>
                      </w:rPr>
                    </w:pPr>
                    <w:r>
                      <w:rPr>
                        <w:sz w:val="20"/>
                        <w:szCs w:val="21"/>
                      </w:rPr>
                      <w:fldChar w:fldCharType="begin"/>
                    </w:r>
                    <w:r>
                      <w:rPr>
                        <w:sz w:val="20"/>
                        <w:szCs w:val="21"/>
                      </w:rPr>
                      <w:instrText xml:space="preserve">PAGE  \* Arabic  \* MERGEFORMAT</w:instrText>
                    </w:r>
                    <w:r>
                      <w:rPr>
                        <w:sz w:val="20"/>
                        <w:szCs w:val="21"/>
                      </w:rPr>
                      <w:fldChar w:fldCharType="separate"/>
                    </w:r>
                    <w:r>
                      <w:rPr>
                        <w:sz w:val="20"/>
                        <w:szCs w:val="21"/>
                        <w:lang w:val="zh-CN"/>
                      </w:rPr>
                      <w:t>1</w:t>
                    </w:r>
                    <w:r>
                      <w:rPr>
                        <w:sz w:val="20"/>
                        <w:szCs w:val="21"/>
                      </w:rPr>
                      <w:fldChar w:fldCharType="end"/>
                    </w:r>
                    <w:r>
                      <w:rPr>
                        <w:sz w:val="20"/>
                        <w:szCs w:val="21"/>
                      </w:rPr>
                      <w:t xml:space="preserve"> </w:t>
                    </w:r>
                    <w:r>
                      <w:rPr>
                        <w:sz w:val="20"/>
                        <w:szCs w:val="21"/>
                        <w:lang w:val="zh-CN"/>
                      </w:rPr>
                      <w:t xml:space="preserve">/ </w:t>
                    </w:r>
                    <w:r>
                      <w:rPr>
                        <w:sz w:val="20"/>
                        <w:szCs w:val="21"/>
                      </w:rPr>
                      <w:fldChar w:fldCharType="begin"/>
                    </w:r>
                    <w:r>
                      <w:rPr>
                        <w:sz w:val="20"/>
                        <w:szCs w:val="21"/>
                      </w:rPr>
                      <w:instrText xml:space="preserve"> =</w:instrText>
                    </w:r>
                    <w:r>
                      <w:rPr>
                        <w:sz w:val="20"/>
                        <w:szCs w:val="21"/>
                      </w:rPr>
                      <w:fldChar w:fldCharType="begin"/>
                    </w:r>
                    <w:r>
                      <w:rPr>
                        <w:sz w:val="20"/>
                        <w:szCs w:val="21"/>
                      </w:rPr>
                      <w:instrText xml:space="preserve"> NUMPAGES </w:instrText>
                    </w:r>
                    <w:r>
                      <w:rPr>
                        <w:sz w:val="20"/>
                        <w:szCs w:val="21"/>
                      </w:rPr>
                      <w:fldChar w:fldCharType="separate"/>
                    </w:r>
                    <w:r>
                      <w:rPr>
                        <w:sz w:val="20"/>
                        <w:szCs w:val="21"/>
                      </w:rPr>
                      <w:instrText xml:space="preserve">45</w:instrText>
                    </w:r>
                    <w:r>
                      <w:rPr>
                        <w:sz w:val="20"/>
                        <w:szCs w:val="21"/>
                      </w:rPr>
                      <w:fldChar w:fldCharType="end"/>
                    </w:r>
                    <w:r>
                      <w:rPr>
                        <w:sz w:val="20"/>
                        <w:szCs w:val="21"/>
                      </w:rPr>
                      <w:instrText xml:space="preserve">-</w:instrText>
                    </w:r>
                    <w:r>
                      <w:rPr>
                        <w:rFonts w:hint="eastAsia"/>
                        <w:sz w:val="20"/>
                        <w:szCs w:val="21"/>
                      </w:rPr>
                      <w:instrText xml:space="preserve">2</w:instrText>
                    </w:r>
                    <w:r>
                      <w:rPr>
                        <w:sz w:val="20"/>
                        <w:szCs w:val="21"/>
                      </w:rPr>
                      <w:instrText xml:space="preserve"> </w:instrText>
                    </w:r>
                    <w:r>
                      <w:rPr>
                        <w:sz w:val="20"/>
                        <w:szCs w:val="21"/>
                      </w:rPr>
                      <w:fldChar w:fldCharType="separate"/>
                    </w:r>
                    <w:r>
                      <w:rPr>
                        <w:sz w:val="20"/>
                        <w:szCs w:val="21"/>
                      </w:rPr>
                      <w:t>61</w:t>
                    </w:r>
                    <w:r>
                      <w:rPr>
                        <w:sz w:val="20"/>
                        <w:szCs w:val="21"/>
                      </w:rPr>
                      <w:fldChar w:fldCharType="end"/>
                    </w:r>
                  </w:p>
                </w:txbxContent>
              </v:textbox>
              <w10:wrap type="none"/>
              <w10:anchorlock/>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394"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5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right"/>
      </w:trPr>
      <w:tc>
        <w:tcPr>
          <w:tcW w:w="1844" w:type="dxa"/>
        </w:tcPr>
        <w:p>
          <w:pPr>
            <w:pStyle w:val="12"/>
            <w:pBdr>
              <w:bottom w:val="none" w:color="auto" w:sz="0" w:space="0"/>
            </w:pBdr>
            <w:spacing w:line="288" w:lineRule="auto"/>
            <w:jc w:val="left"/>
            <w:rPr>
              <w:color w:val="808080" w:themeColor="text1" w:themeTint="80"/>
              <w:sz w:val="21"/>
              <w:szCs w:val="21"/>
              <w14:textFill>
                <w14:solidFill>
                  <w14:schemeClr w14:val="tx1">
                    <w14:lumMod w14:val="50000"/>
                    <w14:lumOff w14:val="50000"/>
                  </w14:schemeClr>
                </w14:solidFill>
              </w14:textFill>
            </w:rPr>
          </w:pPr>
          <w:r>
            <w:rPr>
              <w:color w:val="808080" w:themeColor="text1" w:themeTint="80"/>
              <w:sz w:val="21"/>
              <w:szCs w:val="21"/>
              <w14:textFill>
                <w14:solidFill>
                  <w14:schemeClr w14:val="tx1">
                    <w14:lumMod w14:val="50000"/>
                    <w14:lumOff w14:val="50000"/>
                  </w14:schemeClr>
                </w14:solidFill>
              </w14:textFill>
            </w:rPr>
            <w:t>患者姓名</w:t>
          </w:r>
          <w:r>
            <w:rPr>
              <w:rFonts w:hint="eastAsia"/>
              <w:color w:val="808080" w:themeColor="text1" w:themeTint="80"/>
              <w:sz w:val="21"/>
              <w:szCs w:val="21"/>
              <w14:textFill>
                <w14:solidFill>
                  <w14:schemeClr w14:val="tx1">
                    <w14:lumMod w14:val="50000"/>
                    <w14:lumOff w14:val="50000"/>
                  </w14:schemeClr>
                </w14:solidFill>
              </w14:textFill>
            </w:rPr>
            <w:t>：</w:t>
          </w:r>
        </w:p>
        <w:p>
          <w:pPr>
            <w:pStyle w:val="12"/>
            <w:pBdr>
              <w:bottom w:val="none" w:color="auto" w:sz="0" w:space="0"/>
            </w:pBdr>
            <w:spacing w:line="288" w:lineRule="auto"/>
            <w:jc w:val="left"/>
            <w:rPr>
              <w:sz w:val="21"/>
              <w:szCs w:val="21"/>
            </w:rPr>
          </w:pPr>
        </w:p>
      </w:tc>
      <w:tc>
        <w:tcPr>
          <w:tcW w:w="2550" w:type="dxa"/>
        </w:tcPr>
        <w:p>
          <w:pPr>
            <w:pStyle w:val="12"/>
            <w:pBdr>
              <w:bottom w:val="none" w:color="auto" w:sz="0" w:space="0"/>
            </w:pBdr>
            <w:spacing w:line="307" w:lineRule="auto"/>
            <w:jc w:val="left"/>
            <w:rPr>
              <w:color w:val="808080" w:themeColor="text1" w:themeTint="80"/>
              <w:sz w:val="21"/>
              <w:szCs w:val="21"/>
              <w14:textFill>
                <w14:solidFill>
                  <w14:schemeClr w14:val="tx1">
                    <w14:lumMod w14:val="50000"/>
                    <w14:lumOff w14:val="50000"/>
                  </w14:schemeClr>
                </w14:solidFill>
              </w14:textFill>
            </w:rPr>
          </w:pPr>
          <w:r>
            <w:rPr>
              <w:color w:val="808080" w:themeColor="text1" w:themeTint="80"/>
              <w:sz w:val="21"/>
              <w:szCs w:val="21"/>
              <w14:textFill>
                <w14:solidFill>
                  <w14:schemeClr w14:val="tx1">
                    <w14:lumMod w14:val="50000"/>
                    <w14:lumOff w14:val="50000"/>
                  </w14:schemeClr>
                </w14:solidFill>
              </w14:textFill>
            </w:rPr>
            <w:t>样本编号</w:t>
          </w:r>
          <w:r>
            <w:rPr>
              <w:rFonts w:hint="eastAsia"/>
              <w:color w:val="808080" w:themeColor="text1" w:themeTint="80"/>
              <w:sz w:val="21"/>
              <w:szCs w:val="21"/>
              <w14:textFill>
                <w14:solidFill>
                  <w14:schemeClr w14:val="tx1">
                    <w14:lumMod w14:val="50000"/>
                    <w14:lumOff w14:val="50000"/>
                  </w14:schemeClr>
                </w14:solidFill>
              </w14:textFill>
            </w:rPr>
            <w:t>：</w:t>
          </w:r>
        </w:p>
        <w:p>
          <w:pPr>
            <w:pStyle w:val="12"/>
            <w:pBdr>
              <w:bottom w:val="none" w:color="auto" w:sz="0" w:space="0"/>
            </w:pBdr>
            <w:spacing w:line="307" w:lineRule="auto"/>
            <w:jc w:val="left"/>
            <w:rPr>
              <w:color w:val="808080" w:themeColor="text1" w:themeTint="80"/>
              <w:sz w:val="21"/>
              <w:szCs w:val="21"/>
              <w14:textFill>
                <w14:solidFill>
                  <w14:schemeClr w14:val="tx1">
                    <w14:lumMod w14:val="50000"/>
                    <w14:lumOff w14:val="50000"/>
                  </w14:schemeClr>
                </w14:solidFill>
              </w14:textFill>
            </w:rPr>
          </w:pPr>
        </w:p>
      </w:tc>
    </w:tr>
  </w:tbl>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112"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jc w:val="right"/>
      </w:trPr>
      <w:tc>
        <w:tcPr>
          <w:tcW w:w="1844" w:type="dxa"/>
        </w:tcPr>
        <w:p>
          <w:pPr>
            <w:rPr>
              <w:rFonts w:hAnsi="等线"/>
              <w:sz w:val="20"/>
              <w:szCs w:val="21"/>
            </w:rPr>
          </w:pPr>
          <w:r>
            <w:rPr>
              <w:rFonts w:hint="eastAsia" w:hAnsi="等线"/>
              <w:sz w:val="20"/>
              <w:szCs w:val="21"/>
            </w:rPr>
            <w:t>患者姓名：</w:t>
          </w:r>
        </w:p>
        <w:p>
          <w:pPr>
            <w:spacing w:before="36" w:beforeLines="15"/>
            <w:rPr>
              <w:rFonts w:hint="eastAsia" w:hAnsi="等线" w:eastAsia="等线"/>
              <w:sz w:val="20"/>
              <w:szCs w:val="21"/>
              <w:lang w:eastAsia="zh-CN"/>
            </w:rPr>
          </w:pPr>
          <w:r>
            <w:rPr>
              <w:rFonts w:hint="eastAsia" w:hAnsi="等线" w:cs="Arial"/>
              <w:color w:val="000000"/>
              <w:sz w:val="20"/>
              <w:szCs w:val="20"/>
              <w:lang w:eastAsia="zh-CN"/>
            </w:rPr>
            <w:t xml:space="preserve">刘杰</w:t>
          </w:r>
        </w:p>
      </w:tc>
      <w:tc>
        <w:tcPr>
          <w:tcW w:w="2268" w:type="dxa"/>
        </w:tcPr>
        <w:p>
          <w:pPr>
            <w:rPr>
              <w:rFonts w:hAnsi="等线"/>
              <w:sz w:val="20"/>
              <w:szCs w:val="21"/>
            </w:rPr>
          </w:pPr>
          <w:r>
            <w:rPr>
              <w:rFonts w:hint="eastAsia" w:hAnsi="等线"/>
              <w:sz w:val="20"/>
              <w:szCs w:val="21"/>
            </w:rPr>
            <w:t>样本编号：</w:t>
          </w:r>
        </w:p>
        <w:p>
          <w:pPr>
            <w:spacing w:before="36" w:beforeLines="15"/>
            <w:rPr>
              <w:rFonts w:hint="eastAsia" w:hAnsi="等线" w:eastAsia="等线"/>
              <w:sz w:val="20"/>
              <w:szCs w:val="21"/>
              <w:lang w:eastAsia="zh-CN"/>
            </w:rPr>
          </w:pPr>
          <w:r>
            <w:rPr>
              <w:rFonts w:hint="eastAsia" w:hAnsi="等线" w:cs="Arial"/>
              <w:color w:val="000000"/>
              <w:sz w:val="20"/>
              <w:szCs w:val="20"/>
              <w:lang w:eastAsia="zh-CN" w:bidi="ar"/>
            </w:rPr>
            <w:t xml:space="preserve"/>
          </w:r>
        </w:p>
      </w:tc>
    </w:tr>
  </w:tbl>
  <w:p>
    <w:pPr>
      <w:pStyle w:val="12"/>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112"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jc w:val="right"/>
      </w:trPr>
      <w:tc>
        <w:tcPr>
          <w:tcW w:w="1844" w:type="dxa"/>
        </w:tcPr>
        <w:p>
          <w:pPr>
            <w:rPr>
              <w:rFonts w:hAnsi="等线"/>
              <w:sz w:val="20"/>
              <w:szCs w:val="21"/>
            </w:rPr>
          </w:pPr>
          <w:r>
            <w:rPr>
              <w:rFonts w:hint="eastAsia" w:hAnsi="等线"/>
              <w:sz w:val="20"/>
              <w:szCs w:val="21"/>
            </w:rPr>
            <w:t>患者姓名：</w:t>
          </w:r>
        </w:p>
        <w:p>
          <w:pPr>
            <w:spacing w:before="36" w:beforeLines="15"/>
            <w:rPr>
              <w:rFonts w:hint="eastAsia" w:hAnsi="等线" w:eastAsia="等线"/>
              <w:sz w:val="20"/>
              <w:szCs w:val="21"/>
              <w:lang w:eastAsia="zh-CN"/>
            </w:rPr>
          </w:pPr>
          <w:r>
            <w:rPr>
              <w:rFonts w:hint="eastAsia" w:hAnsi="等线" w:cs="Arial"/>
              <w:color w:val="000000"/>
              <w:sz w:val="20"/>
              <w:szCs w:val="20"/>
              <w:lang w:eastAsia="zh-CN"/>
            </w:rPr>
            <w:t xml:space="preserve">刘杰</w:t>
          </w:r>
        </w:p>
      </w:tc>
      <w:tc>
        <w:tcPr>
          <w:tcW w:w="2268" w:type="dxa"/>
        </w:tcPr>
        <w:p>
          <w:pPr>
            <w:rPr>
              <w:rFonts w:hAnsi="等线"/>
              <w:sz w:val="20"/>
              <w:szCs w:val="21"/>
            </w:rPr>
          </w:pPr>
          <w:r>
            <w:rPr>
              <w:rFonts w:hint="eastAsia" w:hAnsi="等线"/>
              <w:sz w:val="20"/>
              <w:szCs w:val="21"/>
            </w:rPr>
            <w:t>样本编号：</w:t>
          </w:r>
        </w:p>
        <w:p>
          <w:pPr>
            <w:spacing w:before="36" w:beforeLines="15"/>
            <w:rPr>
              <w:rFonts w:hint="eastAsia" w:hAnsi="等线" w:eastAsia="等线"/>
              <w:sz w:val="20"/>
              <w:szCs w:val="21"/>
              <w:lang w:eastAsia="zh-CN"/>
            </w:rPr>
          </w:pPr>
          <w:r>
            <w:rPr>
              <w:rFonts w:hint="eastAsia" w:hAnsi="等线" w:cs="Arial"/>
              <w:color w:val="000000"/>
              <w:sz w:val="20"/>
              <w:szCs w:val="20"/>
              <w:lang w:eastAsia="zh-CN" w:bidi="ar"/>
            </w:rPr>
            <w:t xml:space="preserve">2023WSSW000709-T</w:t>
          </w:r>
        </w:p>
      </w:tc>
    </w:tr>
  </w:tbl>
  <w:p>
    <w:pPr>
      <w:pStyle w:val="12"/>
      <w:pBdr>
        <w:bottom w:val="none" w:color="auto" w:sz="0" w:space="0"/>
      </w:pBdr>
      <w:jc w:val="both"/>
    </w:pPr>
  </w:p>
  <w:p>
    <w:pPr>
      <w:pStyle w:val="12"/>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8F7888"/>
    <w:multiLevelType w:val="singleLevel"/>
    <w:tmpl w:val="818F7888"/>
    <w:lvl w:ilvl="0" w:tentative="0">
      <w:start w:val="1"/>
      <w:numFmt w:val="decimal"/>
      <w:suff w:val="space"/>
      <w:lvlText w:val="%1."/>
      <w:lvlJc w:val="left"/>
      <w:rPr>
        <w:rFonts w:hint="default" w:ascii="等线" w:hAnsi="等线" w:eastAsia="等线" w:cs="等线"/>
        <w:sz w:val="18"/>
        <w:szCs w:val="18"/>
      </w:rPr>
    </w:lvl>
  </w:abstractNum>
  <w:abstractNum w:abstractNumId="1">
    <w:nsid w:val="868F4430"/>
    <w:multiLevelType w:val="singleLevel"/>
    <w:tmpl w:val="868F4430"/>
    <w:lvl w:ilvl="0" w:tentative="0">
      <w:start w:val="1"/>
      <w:numFmt w:val="decimal"/>
      <w:suff w:val="space"/>
      <w:lvlText w:val="%1."/>
      <w:lvlJc w:val="left"/>
      <w:rPr>
        <w:rFonts w:hint="default" w:ascii="等线" w:hAnsi="等线" w:eastAsia="等线" w:cs="等线"/>
        <w:sz w:val="18"/>
        <w:szCs w:val="18"/>
      </w:rPr>
    </w:lvl>
  </w:abstractNum>
  <w:abstractNum w:abstractNumId="2">
    <w:nsid w:val="AD8D18BD"/>
    <w:multiLevelType w:val="singleLevel"/>
    <w:tmpl w:val="AD8D18BD"/>
    <w:lvl w:ilvl="0" w:tentative="0">
      <w:start w:val="1"/>
      <w:numFmt w:val="decimal"/>
      <w:suff w:val="space"/>
      <w:lvlText w:val="%1."/>
      <w:lvlJc w:val="left"/>
      <w:rPr>
        <w:rFonts w:hint="default" w:ascii="等线" w:hAnsi="等线" w:eastAsia="等线" w:cs="等线"/>
        <w:sz w:val="18"/>
        <w:szCs w:val="18"/>
      </w:rPr>
    </w:lvl>
  </w:abstractNum>
  <w:abstractNum w:abstractNumId="3">
    <w:nsid w:val="D16E3DCC"/>
    <w:multiLevelType w:val="singleLevel"/>
    <w:tmpl w:val="D16E3DCC"/>
    <w:lvl w:ilvl="0" w:tentative="0">
      <w:start w:val="1"/>
      <w:numFmt w:val="bullet"/>
      <w:lvlText w:val=""/>
      <w:lvlJc w:val="left"/>
      <w:pPr>
        <w:ind w:left="420" w:hanging="420"/>
      </w:pPr>
      <w:rPr>
        <w:rFonts w:hint="default" w:ascii="Wingdings" w:hAnsi="Wingdings"/>
      </w:rPr>
    </w:lvl>
  </w:abstractNum>
  <w:abstractNum w:abstractNumId="4">
    <w:nsid w:val="D3983D51"/>
    <w:multiLevelType w:val="singleLevel"/>
    <w:tmpl w:val="D3983D51"/>
    <w:lvl w:ilvl="0" w:tentative="0">
      <w:start w:val="1"/>
      <w:numFmt w:val="decimal"/>
      <w:suff w:val="space"/>
      <w:lvlText w:val="%1."/>
      <w:lvlJc w:val="left"/>
      <w:rPr>
        <w:rFonts w:hint="default" w:ascii="等线" w:hAnsi="等线" w:eastAsia="等线" w:cs="等线"/>
        <w:sz w:val="18"/>
        <w:szCs w:val="18"/>
      </w:rPr>
    </w:lvl>
  </w:abstractNum>
  <w:abstractNum w:abstractNumId="5">
    <w:nsid w:val="F168AFCE"/>
    <w:multiLevelType w:val="singleLevel"/>
    <w:tmpl w:val="F168AFCE"/>
    <w:lvl w:ilvl="0" w:tentative="0">
      <w:start w:val="1"/>
      <w:numFmt w:val="decimal"/>
      <w:suff w:val="space"/>
      <w:lvlText w:val="%1."/>
      <w:lvlJc w:val="left"/>
      <w:rPr>
        <w:rFonts w:hint="default" w:ascii="等线" w:hAnsi="等线" w:eastAsia="等线" w:cs="等线"/>
        <w:sz w:val="18"/>
        <w:szCs w:val="18"/>
      </w:rPr>
    </w:lvl>
  </w:abstractNum>
  <w:abstractNum w:abstractNumId="6">
    <w:nsid w:val="02191C48"/>
    <w:multiLevelType w:val="multilevel"/>
    <w:tmpl w:val="02191C4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3F80CBA"/>
    <w:multiLevelType w:val="multilevel"/>
    <w:tmpl w:val="23F80CB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42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26759399"/>
    <w:multiLevelType w:val="singleLevel"/>
    <w:tmpl w:val="26759399"/>
    <w:lvl w:ilvl="0" w:tentative="0">
      <w:start w:val="1"/>
      <w:numFmt w:val="decimal"/>
      <w:suff w:val="space"/>
      <w:lvlText w:val="%1."/>
      <w:lvlJc w:val="left"/>
      <w:rPr>
        <w:rFonts w:hint="default" w:ascii="等线" w:hAnsi="等线" w:eastAsia="等线" w:cs="等线"/>
        <w:sz w:val="18"/>
        <w:szCs w:val="18"/>
      </w:rPr>
    </w:lvl>
  </w:abstractNum>
  <w:abstractNum w:abstractNumId="9">
    <w:nsid w:val="31308012"/>
    <w:multiLevelType w:val="singleLevel"/>
    <w:tmpl w:val="31308012"/>
    <w:lvl w:ilvl="0" w:tentative="0">
      <w:start w:val="1"/>
      <w:numFmt w:val="bullet"/>
      <w:lvlText w:val=""/>
      <w:lvlJc w:val="left"/>
      <w:pPr>
        <w:ind w:left="420" w:hanging="420"/>
      </w:pPr>
      <w:rPr>
        <w:rFonts w:hint="default" w:ascii="Wingdings" w:hAnsi="Wingdings"/>
      </w:rPr>
    </w:lvl>
  </w:abstractNum>
  <w:abstractNum w:abstractNumId="10">
    <w:nsid w:val="33673E24"/>
    <w:multiLevelType w:val="multilevel"/>
    <w:tmpl w:val="33673E24"/>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42AF9497"/>
    <w:multiLevelType w:val="singleLevel"/>
    <w:tmpl w:val="42AF9497"/>
    <w:lvl w:ilvl="0" w:tentative="0">
      <w:start w:val="1"/>
      <w:numFmt w:val="decimal"/>
      <w:suff w:val="space"/>
      <w:lvlText w:val="%1."/>
      <w:lvlJc w:val="left"/>
      <w:rPr>
        <w:rFonts w:hint="default" w:ascii="等线" w:hAnsi="等线" w:eastAsia="等线" w:cs="等线"/>
        <w:sz w:val="18"/>
        <w:szCs w:val="18"/>
      </w:rPr>
    </w:lvl>
  </w:abstractNum>
  <w:abstractNum w:abstractNumId="12">
    <w:nsid w:val="472D3A74"/>
    <w:multiLevelType w:val="multilevel"/>
    <w:tmpl w:val="472D3A74"/>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485BEF98"/>
    <w:multiLevelType w:val="singleLevel"/>
    <w:tmpl w:val="485BEF98"/>
    <w:lvl w:ilvl="0" w:tentative="0">
      <w:start w:val="1"/>
      <w:numFmt w:val="bullet"/>
      <w:lvlText w:val=""/>
      <w:lvlJc w:val="left"/>
      <w:pPr>
        <w:ind w:left="420" w:hanging="420"/>
      </w:pPr>
      <w:rPr>
        <w:rFonts w:hint="default" w:ascii="Wingdings" w:hAnsi="Wingdings"/>
      </w:rPr>
    </w:lvl>
  </w:abstractNum>
  <w:abstractNum w:abstractNumId="14">
    <w:nsid w:val="4AF01FE6"/>
    <w:multiLevelType w:val="singleLevel"/>
    <w:tmpl w:val="4AF01FE6"/>
    <w:lvl w:ilvl="0" w:tentative="0">
      <w:start w:val="1"/>
      <w:numFmt w:val="decimal"/>
      <w:suff w:val="space"/>
      <w:lvlText w:val="%1."/>
      <w:lvlJc w:val="left"/>
      <w:rPr>
        <w:rFonts w:hint="default" w:ascii="等线" w:hAnsi="等线" w:eastAsia="等线" w:cs="等线"/>
        <w:sz w:val="18"/>
        <w:szCs w:val="18"/>
      </w:rPr>
    </w:lvl>
  </w:abstractNum>
  <w:abstractNum w:abstractNumId="15">
    <w:nsid w:val="4C5E7901"/>
    <w:multiLevelType w:val="multilevel"/>
    <w:tmpl w:val="4C5E790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6">
    <w:nsid w:val="4FA48107"/>
    <w:multiLevelType w:val="singleLevel"/>
    <w:tmpl w:val="4FA48107"/>
    <w:lvl w:ilvl="0" w:tentative="0">
      <w:start w:val="1"/>
      <w:numFmt w:val="decimal"/>
      <w:suff w:val="space"/>
      <w:lvlText w:val="%1."/>
      <w:lvlJc w:val="left"/>
      <w:rPr>
        <w:rFonts w:hint="default" w:ascii="等线" w:hAnsi="等线" w:eastAsia="等线" w:cs="等线"/>
        <w:sz w:val="18"/>
        <w:szCs w:val="18"/>
      </w:rPr>
    </w:lvl>
  </w:abstractNum>
  <w:abstractNum w:abstractNumId="17">
    <w:nsid w:val="5869BC02"/>
    <w:multiLevelType w:val="singleLevel"/>
    <w:tmpl w:val="5869BC02"/>
    <w:lvl w:ilvl="0" w:tentative="0">
      <w:start w:val="1"/>
      <w:numFmt w:val="decimal"/>
      <w:suff w:val="space"/>
      <w:lvlText w:val="%1."/>
      <w:lvlJc w:val="left"/>
      <w:rPr>
        <w:rFonts w:hint="default" w:ascii="等线" w:hAnsi="等线" w:eastAsia="等线" w:cs="等线"/>
        <w:sz w:val="18"/>
        <w:szCs w:val="18"/>
      </w:rPr>
    </w:lvl>
  </w:abstractNum>
  <w:abstractNum w:abstractNumId="18">
    <w:nsid w:val="5E815578"/>
    <w:multiLevelType w:val="multilevel"/>
    <w:tmpl w:val="5E81557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79CFEA29"/>
    <w:multiLevelType w:val="singleLevel"/>
    <w:tmpl w:val="79CFEA29"/>
    <w:lvl w:ilvl="0" w:tentative="0">
      <w:start w:val="1"/>
      <w:numFmt w:val="decimal"/>
      <w:suff w:val="space"/>
      <w:lvlText w:val="%1."/>
      <w:lvlJc w:val="left"/>
      <w:rPr>
        <w:rFonts w:hint="default" w:ascii="等线" w:hAnsi="等线" w:eastAsia="等线" w:cs="等线"/>
        <w:sz w:val="18"/>
        <w:szCs w:val="18"/>
      </w:rPr>
    </w:lvl>
  </w:abstractNum>
  <w:num w:numId="1">
    <w:abstractNumId w:val="3"/>
  </w:num>
  <w:num w:numId="2">
    <w:abstractNumId w:val="9"/>
  </w:num>
  <w:num w:numId="3">
    <w:abstractNumId w:val="7"/>
  </w:num>
  <w:num w:numId="4">
    <w:abstractNumId w:val="10"/>
  </w:num>
  <w:num w:numId="5">
    <w:abstractNumId w:val="15"/>
  </w:num>
  <w:num w:numId="6">
    <w:abstractNumId w:val="12"/>
  </w:num>
  <w:num w:numId="7">
    <w:abstractNumId w:val="13"/>
  </w:num>
  <w:num w:numId="8">
    <w:abstractNumId w:val="18"/>
  </w:num>
  <w:num w:numId="9">
    <w:abstractNumId w:val="2"/>
  </w:num>
  <w:num w:numId="10">
    <w:abstractNumId w:val="14"/>
  </w:num>
  <w:num w:numId="11">
    <w:abstractNumId w:val="16"/>
  </w:num>
  <w:num w:numId="12">
    <w:abstractNumId w:val="17"/>
  </w:num>
  <w:num w:numId="13">
    <w:abstractNumId w:val="19"/>
  </w:num>
  <w:num w:numId="14">
    <w:abstractNumId w:val="11"/>
  </w:num>
  <w:num w:numId="15">
    <w:abstractNumId w:val="4"/>
  </w:num>
  <w:num w:numId="16">
    <w:abstractNumId w:val="8"/>
  </w:num>
  <w:num w:numId="17">
    <w:abstractNumId w:val="0"/>
  </w:num>
  <w:num w:numId="18">
    <w:abstractNumId w:val="1"/>
  </w:num>
  <w:num w:numId="19">
    <w:abstractNumId w:val="5"/>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ZjMGM0ZTg3MWI0MDY0Mjk2YTk0ODZmOGVlMDdkMmYifQ=="/>
  </w:docVars>
  <w:rsids>
    <w:rsidRoot w:val="00172A27"/>
    <w:rsid w:val="00001A34"/>
    <w:rsid w:val="00002B70"/>
    <w:rsid w:val="00004176"/>
    <w:rsid w:val="0000419F"/>
    <w:rsid w:val="00006324"/>
    <w:rsid w:val="00006EA3"/>
    <w:rsid w:val="00007CC7"/>
    <w:rsid w:val="000100BB"/>
    <w:rsid w:val="00011182"/>
    <w:rsid w:val="00012EE2"/>
    <w:rsid w:val="000134AF"/>
    <w:rsid w:val="0001510A"/>
    <w:rsid w:val="000205B9"/>
    <w:rsid w:val="000210B8"/>
    <w:rsid w:val="0002174F"/>
    <w:rsid w:val="00023DE0"/>
    <w:rsid w:val="0002422C"/>
    <w:rsid w:val="00025112"/>
    <w:rsid w:val="0002589E"/>
    <w:rsid w:val="00027985"/>
    <w:rsid w:val="00032396"/>
    <w:rsid w:val="0003346F"/>
    <w:rsid w:val="00033B4A"/>
    <w:rsid w:val="000346E3"/>
    <w:rsid w:val="0003607C"/>
    <w:rsid w:val="00040729"/>
    <w:rsid w:val="00042719"/>
    <w:rsid w:val="00042F9C"/>
    <w:rsid w:val="000465FD"/>
    <w:rsid w:val="00047B95"/>
    <w:rsid w:val="00050878"/>
    <w:rsid w:val="0005248B"/>
    <w:rsid w:val="00052D30"/>
    <w:rsid w:val="00054A0E"/>
    <w:rsid w:val="00054CDF"/>
    <w:rsid w:val="00054F49"/>
    <w:rsid w:val="0006001C"/>
    <w:rsid w:val="0006090D"/>
    <w:rsid w:val="00063665"/>
    <w:rsid w:val="000651B6"/>
    <w:rsid w:val="00066829"/>
    <w:rsid w:val="00066BB4"/>
    <w:rsid w:val="00067E43"/>
    <w:rsid w:val="000720A6"/>
    <w:rsid w:val="000729EA"/>
    <w:rsid w:val="00073D68"/>
    <w:rsid w:val="000748DB"/>
    <w:rsid w:val="00075379"/>
    <w:rsid w:val="00076886"/>
    <w:rsid w:val="00076CB7"/>
    <w:rsid w:val="000771FA"/>
    <w:rsid w:val="0007789A"/>
    <w:rsid w:val="000802F3"/>
    <w:rsid w:val="00080A9B"/>
    <w:rsid w:val="00081816"/>
    <w:rsid w:val="00081BE6"/>
    <w:rsid w:val="00081F2C"/>
    <w:rsid w:val="00081F73"/>
    <w:rsid w:val="0008388A"/>
    <w:rsid w:val="000838A7"/>
    <w:rsid w:val="00083B6B"/>
    <w:rsid w:val="00084269"/>
    <w:rsid w:val="00090B31"/>
    <w:rsid w:val="00092F8C"/>
    <w:rsid w:val="00096BAF"/>
    <w:rsid w:val="0009724E"/>
    <w:rsid w:val="00097372"/>
    <w:rsid w:val="000A283E"/>
    <w:rsid w:val="000B03FD"/>
    <w:rsid w:val="000B18E2"/>
    <w:rsid w:val="000B2801"/>
    <w:rsid w:val="000B3450"/>
    <w:rsid w:val="000B5811"/>
    <w:rsid w:val="000C147D"/>
    <w:rsid w:val="000C1BF7"/>
    <w:rsid w:val="000C1C28"/>
    <w:rsid w:val="000C2156"/>
    <w:rsid w:val="000C2CEC"/>
    <w:rsid w:val="000C3173"/>
    <w:rsid w:val="000C353D"/>
    <w:rsid w:val="000C59A3"/>
    <w:rsid w:val="000C6CB9"/>
    <w:rsid w:val="000C73CC"/>
    <w:rsid w:val="000C7F21"/>
    <w:rsid w:val="000D26BC"/>
    <w:rsid w:val="000D28F1"/>
    <w:rsid w:val="000D529A"/>
    <w:rsid w:val="000D5BB9"/>
    <w:rsid w:val="000D6E0F"/>
    <w:rsid w:val="000E12F6"/>
    <w:rsid w:val="000E36B9"/>
    <w:rsid w:val="000E4639"/>
    <w:rsid w:val="000E4F1D"/>
    <w:rsid w:val="000E5E30"/>
    <w:rsid w:val="000E67AC"/>
    <w:rsid w:val="000E7BD3"/>
    <w:rsid w:val="000F0FFD"/>
    <w:rsid w:val="000F1C52"/>
    <w:rsid w:val="000F7D89"/>
    <w:rsid w:val="000F7E4D"/>
    <w:rsid w:val="0010497B"/>
    <w:rsid w:val="00104DC9"/>
    <w:rsid w:val="00105AEF"/>
    <w:rsid w:val="00105B0F"/>
    <w:rsid w:val="00106B72"/>
    <w:rsid w:val="0011007A"/>
    <w:rsid w:val="00110BA8"/>
    <w:rsid w:val="0011100F"/>
    <w:rsid w:val="00111E17"/>
    <w:rsid w:val="001125BE"/>
    <w:rsid w:val="00113EF9"/>
    <w:rsid w:val="001147EA"/>
    <w:rsid w:val="00115277"/>
    <w:rsid w:val="001160CC"/>
    <w:rsid w:val="00121120"/>
    <w:rsid w:val="00121EE2"/>
    <w:rsid w:val="00121F99"/>
    <w:rsid w:val="001220EE"/>
    <w:rsid w:val="00122FBB"/>
    <w:rsid w:val="00124B24"/>
    <w:rsid w:val="00125A38"/>
    <w:rsid w:val="00126C3D"/>
    <w:rsid w:val="0012715D"/>
    <w:rsid w:val="00130B0C"/>
    <w:rsid w:val="00130FBF"/>
    <w:rsid w:val="00132326"/>
    <w:rsid w:val="00132917"/>
    <w:rsid w:val="001342DF"/>
    <w:rsid w:val="00134826"/>
    <w:rsid w:val="001353AD"/>
    <w:rsid w:val="0013571A"/>
    <w:rsid w:val="0013611F"/>
    <w:rsid w:val="00136231"/>
    <w:rsid w:val="00136D62"/>
    <w:rsid w:val="0013763A"/>
    <w:rsid w:val="00137FC0"/>
    <w:rsid w:val="00142568"/>
    <w:rsid w:val="00142B90"/>
    <w:rsid w:val="001437A4"/>
    <w:rsid w:val="00143E98"/>
    <w:rsid w:val="00144E83"/>
    <w:rsid w:val="00145578"/>
    <w:rsid w:val="0014786F"/>
    <w:rsid w:val="001507EE"/>
    <w:rsid w:val="00150CBB"/>
    <w:rsid w:val="001525B1"/>
    <w:rsid w:val="00153818"/>
    <w:rsid w:val="001542F3"/>
    <w:rsid w:val="0015465A"/>
    <w:rsid w:val="001555E2"/>
    <w:rsid w:val="00155E0F"/>
    <w:rsid w:val="00156424"/>
    <w:rsid w:val="0015659F"/>
    <w:rsid w:val="00156B58"/>
    <w:rsid w:val="00160714"/>
    <w:rsid w:val="00161046"/>
    <w:rsid w:val="00162F6D"/>
    <w:rsid w:val="001638FB"/>
    <w:rsid w:val="00164132"/>
    <w:rsid w:val="001652D8"/>
    <w:rsid w:val="001667B5"/>
    <w:rsid w:val="001709C8"/>
    <w:rsid w:val="00172A27"/>
    <w:rsid w:val="00172D34"/>
    <w:rsid w:val="0017343A"/>
    <w:rsid w:val="00173721"/>
    <w:rsid w:val="001745F6"/>
    <w:rsid w:val="00175F1A"/>
    <w:rsid w:val="00177BB4"/>
    <w:rsid w:val="00181351"/>
    <w:rsid w:val="0018733E"/>
    <w:rsid w:val="001873A3"/>
    <w:rsid w:val="001912C8"/>
    <w:rsid w:val="00194254"/>
    <w:rsid w:val="0019729C"/>
    <w:rsid w:val="001A498C"/>
    <w:rsid w:val="001A5D6C"/>
    <w:rsid w:val="001A6174"/>
    <w:rsid w:val="001A672E"/>
    <w:rsid w:val="001B1877"/>
    <w:rsid w:val="001B2175"/>
    <w:rsid w:val="001B257F"/>
    <w:rsid w:val="001B260C"/>
    <w:rsid w:val="001B589F"/>
    <w:rsid w:val="001B5A0D"/>
    <w:rsid w:val="001B6D8A"/>
    <w:rsid w:val="001B77BB"/>
    <w:rsid w:val="001B7FE3"/>
    <w:rsid w:val="001C0517"/>
    <w:rsid w:val="001C0535"/>
    <w:rsid w:val="001C1C9D"/>
    <w:rsid w:val="001C4A73"/>
    <w:rsid w:val="001C4D2E"/>
    <w:rsid w:val="001C53F3"/>
    <w:rsid w:val="001C5AB6"/>
    <w:rsid w:val="001C6623"/>
    <w:rsid w:val="001C67B1"/>
    <w:rsid w:val="001C68B0"/>
    <w:rsid w:val="001C7262"/>
    <w:rsid w:val="001D0ED1"/>
    <w:rsid w:val="001D21A0"/>
    <w:rsid w:val="001D3A1B"/>
    <w:rsid w:val="001D62D4"/>
    <w:rsid w:val="001D7076"/>
    <w:rsid w:val="001D7A24"/>
    <w:rsid w:val="001E0459"/>
    <w:rsid w:val="001E04C9"/>
    <w:rsid w:val="001E08BC"/>
    <w:rsid w:val="001E0A18"/>
    <w:rsid w:val="001E19F4"/>
    <w:rsid w:val="001E4901"/>
    <w:rsid w:val="001E4E0B"/>
    <w:rsid w:val="001E6750"/>
    <w:rsid w:val="001E692A"/>
    <w:rsid w:val="001E716C"/>
    <w:rsid w:val="001F1D0C"/>
    <w:rsid w:val="001F2B9C"/>
    <w:rsid w:val="001F6AC3"/>
    <w:rsid w:val="001F6B4A"/>
    <w:rsid w:val="001F754F"/>
    <w:rsid w:val="00200F36"/>
    <w:rsid w:val="002013FF"/>
    <w:rsid w:val="002016F2"/>
    <w:rsid w:val="0020246B"/>
    <w:rsid w:val="00202F98"/>
    <w:rsid w:val="002040B3"/>
    <w:rsid w:val="00205E1A"/>
    <w:rsid w:val="0020653F"/>
    <w:rsid w:val="00206ECD"/>
    <w:rsid w:val="00213894"/>
    <w:rsid w:val="002150B7"/>
    <w:rsid w:val="002155EE"/>
    <w:rsid w:val="00215766"/>
    <w:rsid w:val="00215860"/>
    <w:rsid w:val="00215D59"/>
    <w:rsid w:val="00217978"/>
    <w:rsid w:val="00220745"/>
    <w:rsid w:val="002211BE"/>
    <w:rsid w:val="0022283E"/>
    <w:rsid w:val="00222CD2"/>
    <w:rsid w:val="00224044"/>
    <w:rsid w:val="00224321"/>
    <w:rsid w:val="0022484C"/>
    <w:rsid w:val="002272E9"/>
    <w:rsid w:val="00231801"/>
    <w:rsid w:val="00235235"/>
    <w:rsid w:val="00235249"/>
    <w:rsid w:val="00235A11"/>
    <w:rsid w:val="00240CF8"/>
    <w:rsid w:val="00241BD0"/>
    <w:rsid w:val="00241C90"/>
    <w:rsid w:val="00241F87"/>
    <w:rsid w:val="00243358"/>
    <w:rsid w:val="00245D34"/>
    <w:rsid w:val="00246B34"/>
    <w:rsid w:val="00246D5D"/>
    <w:rsid w:val="00246F16"/>
    <w:rsid w:val="002479FC"/>
    <w:rsid w:val="00247F18"/>
    <w:rsid w:val="00250425"/>
    <w:rsid w:val="00251818"/>
    <w:rsid w:val="002523C4"/>
    <w:rsid w:val="00253AAB"/>
    <w:rsid w:val="00253B58"/>
    <w:rsid w:val="002561CC"/>
    <w:rsid w:val="00260010"/>
    <w:rsid w:val="00260054"/>
    <w:rsid w:val="002602AF"/>
    <w:rsid w:val="00260413"/>
    <w:rsid w:val="0026044A"/>
    <w:rsid w:val="00260DE5"/>
    <w:rsid w:val="00261994"/>
    <w:rsid w:val="00262044"/>
    <w:rsid w:val="00264ADE"/>
    <w:rsid w:val="002656F8"/>
    <w:rsid w:val="00265C5B"/>
    <w:rsid w:val="002669CC"/>
    <w:rsid w:val="00266C0B"/>
    <w:rsid w:val="00273B20"/>
    <w:rsid w:val="00274711"/>
    <w:rsid w:val="00274E14"/>
    <w:rsid w:val="00275910"/>
    <w:rsid w:val="002760E6"/>
    <w:rsid w:val="002769CA"/>
    <w:rsid w:val="00276F36"/>
    <w:rsid w:val="002779BE"/>
    <w:rsid w:val="0028208D"/>
    <w:rsid w:val="002821ED"/>
    <w:rsid w:val="00283F16"/>
    <w:rsid w:val="002840A3"/>
    <w:rsid w:val="00285F55"/>
    <w:rsid w:val="00287F63"/>
    <w:rsid w:val="00290380"/>
    <w:rsid w:val="00292DF0"/>
    <w:rsid w:val="00294A53"/>
    <w:rsid w:val="00294E15"/>
    <w:rsid w:val="0029564A"/>
    <w:rsid w:val="00295C82"/>
    <w:rsid w:val="002A12B1"/>
    <w:rsid w:val="002A1A8D"/>
    <w:rsid w:val="002A1A99"/>
    <w:rsid w:val="002A215C"/>
    <w:rsid w:val="002A2D55"/>
    <w:rsid w:val="002B078F"/>
    <w:rsid w:val="002B0FA5"/>
    <w:rsid w:val="002B273C"/>
    <w:rsid w:val="002B37C0"/>
    <w:rsid w:val="002B6092"/>
    <w:rsid w:val="002B6298"/>
    <w:rsid w:val="002C031C"/>
    <w:rsid w:val="002C0C4A"/>
    <w:rsid w:val="002C2BED"/>
    <w:rsid w:val="002C533B"/>
    <w:rsid w:val="002C5E57"/>
    <w:rsid w:val="002C682B"/>
    <w:rsid w:val="002C6AF1"/>
    <w:rsid w:val="002C74B0"/>
    <w:rsid w:val="002C7BF0"/>
    <w:rsid w:val="002C7CA4"/>
    <w:rsid w:val="002D01BD"/>
    <w:rsid w:val="002D0BE8"/>
    <w:rsid w:val="002D45B8"/>
    <w:rsid w:val="002D4AF8"/>
    <w:rsid w:val="002D652C"/>
    <w:rsid w:val="002D7782"/>
    <w:rsid w:val="002E06BC"/>
    <w:rsid w:val="002E0787"/>
    <w:rsid w:val="002E0CF4"/>
    <w:rsid w:val="002E271C"/>
    <w:rsid w:val="002E2A99"/>
    <w:rsid w:val="002E2B24"/>
    <w:rsid w:val="002E3462"/>
    <w:rsid w:val="002E508D"/>
    <w:rsid w:val="002E5EFF"/>
    <w:rsid w:val="002E700A"/>
    <w:rsid w:val="002F0778"/>
    <w:rsid w:val="002F47D3"/>
    <w:rsid w:val="002F65CB"/>
    <w:rsid w:val="002F7086"/>
    <w:rsid w:val="00300D97"/>
    <w:rsid w:val="00302834"/>
    <w:rsid w:val="00302A25"/>
    <w:rsid w:val="003044BB"/>
    <w:rsid w:val="0030513E"/>
    <w:rsid w:val="00306711"/>
    <w:rsid w:val="003100F3"/>
    <w:rsid w:val="003111E0"/>
    <w:rsid w:val="00313C3E"/>
    <w:rsid w:val="0031427A"/>
    <w:rsid w:val="003155C3"/>
    <w:rsid w:val="003157B9"/>
    <w:rsid w:val="00316558"/>
    <w:rsid w:val="003205AE"/>
    <w:rsid w:val="00321C22"/>
    <w:rsid w:val="00321E4C"/>
    <w:rsid w:val="00322F80"/>
    <w:rsid w:val="00323554"/>
    <w:rsid w:val="00323D17"/>
    <w:rsid w:val="00324179"/>
    <w:rsid w:val="00325320"/>
    <w:rsid w:val="00325B47"/>
    <w:rsid w:val="00327D7C"/>
    <w:rsid w:val="00330D0B"/>
    <w:rsid w:val="00330DA4"/>
    <w:rsid w:val="00331F50"/>
    <w:rsid w:val="00332D95"/>
    <w:rsid w:val="00333741"/>
    <w:rsid w:val="003338E6"/>
    <w:rsid w:val="00333929"/>
    <w:rsid w:val="00334B6A"/>
    <w:rsid w:val="00334D86"/>
    <w:rsid w:val="0033578C"/>
    <w:rsid w:val="00335CAE"/>
    <w:rsid w:val="00335F80"/>
    <w:rsid w:val="00341134"/>
    <w:rsid w:val="00342230"/>
    <w:rsid w:val="00342983"/>
    <w:rsid w:val="003439D5"/>
    <w:rsid w:val="0034438B"/>
    <w:rsid w:val="00344E04"/>
    <w:rsid w:val="00346FBE"/>
    <w:rsid w:val="00347FF9"/>
    <w:rsid w:val="003508B0"/>
    <w:rsid w:val="0035337E"/>
    <w:rsid w:val="00354187"/>
    <w:rsid w:val="00354AB8"/>
    <w:rsid w:val="003559D5"/>
    <w:rsid w:val="00356F92"/>
    <w:rsid w:val="00357CC7"/>
    <w:rsid w:val="00360875"/>
    <w:rsid w:val="00364B46"/>
    <w:rsid w:val="003659CF"/>
    <w:rsid w:val="003677CD"/>
    <w:rsid w:val="0037036D"/>
    <w:rsid w:val="00370BB4"/>
    <w:rsid w:val="00371906"/>
    <w:rsid w:val="00372708"/>
    <w:rsid w:val="00372790"/>
    <w:rsid w:val="00376D32"/>
    <w:rsid w:val="00377228"/>
    <w:rsid w:val="00377480"/>
    <w:rsid w:val="00377550"/>
    <w:rsid w:val="00382BEA"/>
    <w:rsid w:val="00384DA2"/>
    <w:rsid w:val="0038536A"/>
    <w:rsid w:val="00386595"/>
    <w:rsid w:val="0038685E"/>
    <w:rsid w:val="0039135B"/>
    <w:rsid w:val="0039223D"/>
    <w:rsid w:val="003924AF"/>
    <w:rsid w:val="00392AF3"/>
    <w:rsid w:val="00392DDD"/>
    <w:rsid w:val="003933A0"/>
    <w:rsid w:val="003960E2"/>
    <w:rsid w:val="0039732E"/>
    <w:rsid w:val="003A5EB6"/>
    <w:rsid w:val="003A607B"/>
    <w:rsid w:val="003A7685"/>
    <w:rsid w:val="003B1502"/>
    <w:rsid w:val="003B26EC"/>
    <w:rsid w:val="003B2BBC"/>
    <w:rsid w:val="003B3C7F"/>
    <w:rsid w:val="003B52B4"/>
    <w:rsid w:val="003B5BFC"/>
    <w:rsid w:val="003B60B4"/>
    <w:rsid w:val="003C1BF2"/>
    <w:rsid w:val="003C473C"/>
    <w:rsid w:val="003C48D4"/>
    <w:rsid w:val="003C55F5"/>
    <w:rsid w:val="003D173C"/>
    <w:rsid w:val="003D1820"/>
    <w:rsid w:val="003D3A0C"/>
    <w:rsid w:val="003D61A6"/>
    <w:rsid w:val="003D7463"/>
    <w:rsid w:val="003E05A5"/>
    <w:rsid w:val="003E2D7A"/>
    <w:rsid w:val="003E4A24"/>
    <w:rsid w:val="003E4BE4"/>
    <w:rsid w:val="003E5E76"/>
    <w:rsid w:val="003E750F"/>
    <w:rsid w:val="003E7E79"/>
    <w:rsid w:val="003F1952"/>
    <w:rsid w:val="003F1B71"/>
    <w:rsid w:val="003F25F9"/>
    <w:rsid w:val="003F2687"/>
    <w:rsid w:val="003F3683"/>
    <w:rsid w:val="003F449E"/>
    <w:rsid w:val="003F790A"/>
    <w:rsid w:val="0040488C"/>
    <w:rsid w:val="004050E0"/>
    <w:rsid w:val="0040570C"/>
    <w:rsid w:val="00410D46"/>
    <w:rsid w:val="00411006"/>
    <w:rsid w:val="004119DF"/>
    <w:rsid w:val="00412F92"/>
    <w:rsid w:val="0041495B"/>
    <w:rsid w:val="00416C2F"/>
    <w:rsid w:val="00417418"/>
    <w:rsid w:val="00417A8E"/>
    <w:rsid w:val="00420296"/>
    <w:rsid w:val="00421984"/>
    <w:rsid w:val="00422CE7"/>
    <w:rsid w:val="00423966"/>
    <w:rsid w:val="00424F45"/>
    <w:rsid w:val="0043010B"/>
    <w:rsid w:val="00430C91"/>
    <w:rsid w:val="00432219"/>
    <w:rsid w:val="00432B87"/>
    <w:rsid w:val="0043326F"/>
    <w:rsid w:val="0043336F"/>
    <w:rsid w:val="004334E3"/>
    <w:rsid w:val="00434911"/>
    <w:rsid w:val="00437DF8"/>
    <w:rsid w:val="00441277"/>
    <w:rsid w:val="00441E52"/>
    <w:rsid w:val="00442284"/>
    <w:rsid w:val="00442DC9"/>
    <w:rsid w:val="00442F13"/>
    <w:rsid w:val="004449EB"/>
    <w:rsid w:val="00446232"/>
    <w:rsid w:val="004507A7"/>
    <w:rsid w:val="00453397"/>
    <w:rsid w:val="00453A01"/>
    <w:rsid w:val="0045547C"/>
    <w:rsid w:val="0045653E"/>
    <w:rsid w:val="004571BF"/>
    <w:rsid w:val="00460032"/>
    <w:rsid w:val="00463BF0"/>
    <w:rsid w:val="00464168"/>
    <w:rsid w:val="004667F3"/>
    <w:rsid w:val="00466E74"/>
    <w:rsid w:val="004673E3"/>
    <w:rsid w:val="004710E5"/>
    <w:rsid w:val="00471EBA"/>
    <w:rsid w:val="00473F87"/>
    <w:rsid w:val="00474172"/>
    <w:rsid w:val="00475001"/>
    <w:rsid w:val="004757C4"/>
    <w:rsid w:val="00476715"/>
    <w:rsid w:val="004767D8"/>
    <w:rsid w:val="004772B3"/>
    <w:rsid w:val="00477D65"/>
    <w:rsid w:val="00483001"/>
    <w:rsid w:val="0048331D"/>
    <w:rsid w:val="00484A3F"/>
    <w:rsid w:val="00485BEF"/>
    <w:rsid w:val="00486AB3"/>
    <w:rsid w:val="00486B01"/>
    <w:rsid w:val="0049003A"/>
    <w:rsid w:val="00491A19"/>
    <w:rsid w:val="00493AFA"/>
    <w:rsid w:val="004952DF"/>
    <w:rsid w:val="00495662"/>
    <w:rsid w:val="00495CEA"/>
    <w:rsid w:val="004A11A9"/>
    <w:rsid w:val="004A13A1"/>
    <w:rsid w:val="004A3F98"/>
    <w:rsid w:val="004A55F3"/>
    <w:rsid w:val="004B0E44"/>
    <w:rsid w:val="004B28B1"/>
    <w:rsid w:val="004B3B9C"/>
    <w:rsid w:val="004B4E90"/>
    <w:rsid w:val="004B5C34"/>
    <w:rsid w:val="004B604B"/>
    <w:rsid w:val="004B6CC7"/>
    <w:rsid w:val="004B7BD7"/>
    <w:rsid w:val="004C12E6"/>
    <w:rsid w:val="004C524A"/>
    <w:rsid w:val="004D45E8"/>
    <w:rsid w:val="004D6633"/>
    <w:rsid w:val="004D6EE4"/>
    <w:rsid w:val="004D73CF"/>
    <w:rsid w:val="004D7702"/>
    <w:rsid w:val="004E114D"/>
    <w:rsid w:val="004E2D04"/>
    <w:rsid w:val="004E36E0"/>
    <w:rsid w:val="004E43F9"/>
    <w:rsid w:val="004E57A1"/>
    <w:rsid w:val="004F070F"/>
    <w:rsid w:val="004F2E55"/>
    <w:rsid w:val="004F5EA9"/>
    <w:rsid w:val="004F7CFD"/>
    <w:rsid w:val="00500658"/>
    <w:rsid w:val="00500CFB"/>
    <w:rsid w:val="00501FD4"/>
    <w:rsid w:val="0050279D"/>
    <w:rsid w:val="00503D2E"/>
    <w:rsid w:val="00503F3F"/>
    <w:rsid w:val="005051D7"/>
    <w:rsid w:val="005061BD"/>
    <w:rsid w:val="0050659C"/>
    <w:rsid w:val="00506B58"/>
    <w:rsid w:val="0050790D"/>
    <w:rsid w:val="00511002"/>
    <w:rsid w:val="005116B4"/>
    <w:rsid w:val="005116E1"/>
    <w:rsid w:val="00512642"/>
    <w:rsid w:val="005134E2"/>
    <w:rsid w:val="005177C0"/>
    <w:rsid w:val="0052313D"/>
    <w:rsid w:val="00524052"/>
    <w:rsid w:val="00525760"/>
    <w:rsid w:val="00525AF3"/>
    <w:rsid w:val="005275B1"/>
    <w:rsid w:val="00527F4C"/>
    <w:rsid w:val="00532681"/>
    <w:rsid w:val="00532BAF"/>
    <w:rsid w:val="00532D25"/>
    <w:rsid w:val="00533D56"/>
    <w:rsid w:val="00533D72"/>
    <w:rsid w:val="00534EFA"/>
    <w:rsid w:val="00540E38"/>
    <w:rsid w:val="00541F0C"/>
    <w:rsid w:val="005421DE"/>
    <w:rsid w:val="005435F3"/>
    <w:rsid w:val="00543706"/>
    <w:rsid w:val="005440EC"/>
    <w:rsid w:val="005473F9"/>
    <w:rsid w:val="005530AB"/>
    <w:rsid w:val="00556F27"/>
    <w:rsid w:val="005612E7"/>
    <w:rsid w:val="00563776"/>
    <w:rsid w:val="005647B5"/>
    <w:rsid w:val="00565C50"/>
    <w:rsid w:val="00566A21"/>
    <w:rsid w:val="0056738B"/>
    <w:rsid w:val="00571409"/>
    <w:rsid w:val="00571869"/>
    <w:rsid w:val="00571A3E"/>
    <w:rsid w:val="00571DA8"/>
    <w:rsid w:val="005733F8"/>
    <w:rsid w:val="00574299"/>
    <w:rsid w:val="0057466A"/>
    <w:rsid w:val="00574F14"/>
    <w:rsid w:val="00575D1A"/>
    <w:rsid w:val="00575FFE"/>
    <w:rsid w:val="00577157"/>
    <w:rsid w:val="005776A0"/>
    <w:rsid w:val="00577DD2"/>
    <w:rsid w:val="005810E9"/>
    <w:rsid w:val="00581261"/>
    <w:rsid w:val="00581698"/>
    <w:rsid w:val="00582714"/>
    <w:rsid w:val="00582C34"/>
    <w:rsid w:val="00582DAB"/>
    <w:rsid w:val="0058331F"/>
    <w:rsid w:val="0058397A"/>
    <w:rsid w:val="00583D35"/>
    <w:rsid w:val="00584115"/>
    <w:rsid w:val="005863FB"/>
    <w:rsid w:val="0058701A"/>
    <w:rsid w:val="00587046"/>
    <w:rsid w:val="00590A6B"/>
    <w:rsid w:val="00590A73"/>
    <w:rsid w:val="005921A0"/>
    <w:rsid w:val="0059241E"/>
    <w:rsid w:val="00592621"/>
    <w:rsid w:val="00592FC0"/>
    <w:rsid w:val="005932C8"/>
    <w:rsid w:val="00593B44"/>
    <w:rsid w:val="005951C6"/>
    <w:rsid w:val="0059619E"/>
    <w:rsid w:val="005974DD"/>
    <w:rsid w:val="00597DA3"/>
    <w:rsid w:val="005A07AD"/>
    <w:rsid w:val="005A17BE"/>
    <w:rsid w:val="005A2C08"/>
    <w:rsid w:val="005A58C5"/>
    <w:rsid w:val="005A5DB3"/>
    <w:rsid w:val="005A6EC2"/>
    <w:rsid w:val="005B1936"/>
    <w:rsid w:val="005B4108"/>
    <w:rsid w:val="005B447A"/>
    <w:rsid w:val="005B687C"/>
    <w:rsid w:val="005B7E41"/>
    <w:rsid w:val="005C1428"/>
    <w:rsid w:val="005C1EC5"/>
    <w:rsid w:val="005C5682"/>
    <w:rsid w:val="005C56AF"/>
    <w:rsid w:val="005C56BE"/>
    <w:rsid w:val="005C645F"/>
    <w:rsid w:val="005C7396"/>
    <w:rsid w:val="005C7C45"/>
    <w:rsid w:val="005D309D"/>
    <w:rsid w:val="005D360C"/>
    <w:rsid w:val="005D4CD7"/>
    <w:rsid w:val="005D5985"/>
    <w:rsid w:val="005D62CE"/>
    <w:rsid w:val="005D6681"/>
    <w:rsid w:val="005E1999"/>
    <w:rsid w:val="005E3DAC"/>
    <w:rsid w:val="005F1234"/>
    <w:rsid w:val="005F145F"/>
    <w:rsid w:val="005F1462"/>
    <w:rsid w:val="005F18BE"/>
    <w:rsid w:val="005F3F03"/>
    <w:rsid w:val="005F4A10"/>
    <w:rsid w:val="006042C2"/>
    <w:rsid w:val="00604EB7"/>
    <w:rsid w:val="006060BB"/>
    <w:rsid w:val="0060658C"/>
    <w:rsid w:val="00610E24"/>
    <w:rsid w:val="00617768"/>
    <w:rsid w:val="00617D4E"/>
    <w:rsid w:val="00620828"/>
    <w:rsid w:val="0062192B"/>
    <w:rsid w:val="0062403B"/>
    <w:rsid w:val="00624045"/>
    <w:rsid w:val="0062416A"/>
    <w:rsid w:val="00630F35"/>
    <w:rsid w:val="006315D0"/>
    <w:rsid w:val="00631EEA"/>
    <w:rsid w:val="006338BA"/>
    <w:rsid w:val="00633B0C"/>
    <w:rsid w:val="00633B70"/>
    <w:rsid w:val="00634DCF"/>
    <w:rsid w:val="006372CF"/>
    <w:rsid w:val="00637AED"/>
    <w:rsid w:val="00640E41"/>
    <w:rsid w:val="00641B39"/>
    <w:rsid w:val="0064344D"/>
    <w:rsid w:val="00643910"/>
    <w:rsid w:val="00646BD7"/>
    <w:rsid w:val="00647119"/>
    <w:rsid w:val="006479A2"/>
    <w:rsid w:val="0065571D"/>
    <w:rsid w:val="00664A16"/>
    <w:rsid w:val="0066705F"/>
    <w:rsid w:val="006671D4"/>
    <w:rsid w:val="00667224"/>
    <w:rsid w:val="00667AC5"/>
    <w:rsid w:val="0067050A"/>
    <w:rsid w:val="00671058"/>
    <w:rsid w:val="006712E2"/>
    <w:rsid w:val="00671375"/>
    <w:rsid w:val="00671597"/>
    <w:rsid w:val="0067198C"/>
    <w:rsid w:val="00671EF9"/>
    <w:rsid w:val="00672745"/>
    <w:rsid w:val="006778E6"/>
    <w:rsid w:val="00681AEE"/>
    <w:rsid w:val="00681F92"/>
    <w:rsid w:val="006843F7"/>
    <w:rsid w:val="00687F89"/>
    <w:rsid w:val="00690114"/>
    <w:rsid w:val="006919B5"/>
    <w:rsid w:val="00692B6F"/>
    <w:rsid w:val="00693384"/>
    <w:rsid w:val="00694029"/>
    <w:rsid w:val="00695874"/>
    <w:rsid w:val="00696BF7"/>
    <w:rsid w:val="00696E78"/>
    <w:rsid w:val="006A0AB6"/>
    <w:rsid w:val="006A1B8D"/>
    <w:rsid w:val="006A2C23"/>
    <w:rsid w:val="006A2D3E"/>
    <w:rsid w:val="006A37D5"/>
    <w:rsid w:val="006A3CC6"/>
    <w:rsid w:val="006A458B"/>
    <w:rsid w:val="006A7683"/>
    <w:rsid w:val="006A783B"/>
    <w:rsid w:val="006A7FA6"/>
    <w:rsid w:val="006B0382"/>
    <w:rsid w:val="006B056B"/>
    <w:rsid w:val="006B1AF7"/>
    <w:rsid w:val="006B1ED2"/>
    <w:rsid w:val="006B2057"/>
    <w:rsid w:val="006B365D"/>
    <w:rsid w:val="006B4184"/>
    <w:rsid w:val="006B42BC"/>
    <w:rsid w:val="006B5B98"/>
    <w:rsid w:val="006B61DB"/>
    <w:rsid w:val="006B6B78"/>
    <w:rsid w:val="006B798F"/>
    <w:rsid w:val="006C18E6"/>
    <w:rsid w:val="006C279B"/>
    <w:rsid w:val="006C3A68"/>
    <w:rsid w:val="006C5D00"/>
    <w:rsid w:val="006C7333"/>
    <w:rsid w:val="006D0C73"/>
    <w:rsid w:val="006D1021"/>
    <w:rsid w:val="006D1D6A"/>
    <w:rsid w:val="006D397E"/>
    <w:rsid w:val="006D43AF"/>
    <w:rsid w:val="006D461C"/>
    <w:rsid w:val="006D5A74"/>
    <w:rsid w:val="006D6B44"/>
    <w:rsid w:val="006D7F00"/>
    <w:rsid w:val="006E1937"/>
    <w:rsid w:val="006E1C80"/>
    <w:rsid w:val="006E249F"/>
    <w:rsid w:val="006E28FC"/>
    <w:rsid w:val="006E556D"/>
    <w:rsid w:val="006E701E"/>
    <w:rsid w:val="006F0F88"/>
    <w:rsid w:val="007013E9"/>
    <w:rsid w:val="00701B16"/>
    <w:rsid w:val="007020B5"/>
    <w:rsid w:val="007025DA"/>
    <w:rsid w:val="00702D99"/>
    <w:rsid w:val="007061EF"/>
    <w:rsid w:val="00710F1F"/>
    <w:rsid w:val="00711060"/>
    <w:rsid w:val="00712D3C"/>
    <w:rsid w:val="00712FAC"/>
    <w:rsid w:val="00713C3A"/>
    <w:rsid w:val="00714870"/>
    <w:rsid w:val="007157BA"/>
    <w:rsid w:val="0071723E"/>
    <w:rsid w:val="0072249D"/>
    <w:rsid w:val="00723482"/>
    <w:rsid w:val="00724E5A"/>
    <w:rsid w:val="00725493"/>
    <w:rsid w:val="007264ED"/>
    <w:rsid w:val="0072722D"/>
    <w:rsid w:val="00727361"/>
    <w:rsid w:val="00730141"/>
    <w:rsid w:val="00731C41"/>
    <w:rsid w:val="00733618"/>
    <w:rsid w:val="0073425C"/>
    <w:rsid w:val="00735D03"/>
    <w:rsid w:val="00740EEA"/>
    <w:rsid w:val="00741A90"/>
    <w:rsid w:val="0074255E"/>
    <w:rsid w:val="007435CD"/>
    <w:rsid w:val="00743AF5"/>
    <w:rsid w:val="00744E78"/>
    <w:rsid w:val="00746E45"/>
    <w:rsid w:val="0074780C"/>
    <w:rsid w:val="00750BD6"/>
    <w:rsid w:val="00750D6F"/>
    <w:rsid w:val="00751143"/>
    <w:rsid w:val="00751D6C"/>
    <w:rsid w:val="00753257"/>
    <w:rsid w:val="007532D5"/>
    <w:rsid w:val="007533D1"/>
    <w:rsid w:val="00753C19"/>
    <w:rsid w:val="00756F0C"/>
    <w:rsid w:val="00757535"/>
    <w:rsid w:val="00760078"/>
    <w:rsid w:val="0076023B"/>
    <w:rsid w:val="007607D9"/>
    <w:rsid w:val="00761C87"/>
    <w:rsid w:val="0076216B"/>
    <w:rsid w:val="007632D9"/>
    <w:rsid w:val="00764A7A"/>
    <w:rsid w:val="0076768B"/>
    <w:rsid w:val="007706D0"/>
    <w:rsid w:val="007706FC"/>
    <w:rsid w:val="007709D1"/>
    <w:rsid w:val="007715D6"/>
    <w:rsid w:val="00772CC9"/>
    <w:rsid w:val="007731A8"/>
    <w:rsid w:val="007739D9"/>
    <w:rsid w:val="00775304"/>
    <w:rsid w:val="0077586E"/>
    <w:rsid w:val="0077791A"/>
    <w:rsid w:val="00777D13"/>
    <w:rsid w:val="007805DA"/>
    <w:rsid w:val="0078060B"/>
    <w:rsid w:val="00780AF6"/>
    <w:rsid w:val="00782DBB"/>
    <w:rsid w:val="0078387C"/>
    <w:rsid w:val="0078636B"/>
    <w:rsid w:val="00786943"/>
    <w:rsid w:val="00787809"/>
    <w:rsid w:val="007920B1"/>
    <w:rsid w:val="00792356"/>
    <w:rsid w:val="00792EDE"/>
    <w:rsid w:val="00792EEC"/>
    <w:rsid w:val="00792FB1"/>
    <w:rsid w:val="007A1989"/>
    <w:rsid w:val="007A20DA"/>
    <w:rsid w:val="007A2E9C"/>
    <w:rsid w:val="007A3EFC"/>
    <w:rsid w:val="007A4134"/>
    <w:rsid w:val="007A4583"/>
    <w:rsid w:val="007A4ACE"/>
    <w:rsid w:val="007A63E5"/>
    <w:rsid w:val="007A7501"/>
    <w:rsid w:val="007B03A6"/>
    <w:rsid w:val="007B351C"/>
    <w:rsid w:val="007B3A43"/>
    <w:rsid w:val="007B3AB9"/>
    <w:rsid w:val="007B3EC4"/>
    <w:rsid w:val="007B4CCE"/>
    <w:rsid w:val="007B4ED2"/>
    <w:rsid w:val="007B4F5E"/>
    <w:rsid w:val="007B517B"/>
    <w:rsid w:val="007B548E"/>
    <w:rsid w:val="007B5771"/>
    <w:rsid w:val="007B63F9"/>
    <w:rsid w:val="007B6617"/>
    <w:rsid w:val="007B6C9A"/>
    <w:rsid w:val="007C1413"/>
    <w:rsid w:val="007C1C5F"/>
    <w:rsid w:val="007C3B01"/>
    <w:rsid w:val="007C478B"/>
    <w:rsid w:val="007C5673"/>
    <w:rsid w:val="007C5A9D"/>
    <w:rsid w:val="007D202D"/>
    <w:rsid w:val="007D22BF"/>
    <w:rsid w:val="007D26C5"/>
    <w:rsid w:val="007D39C4"/>
    <w:rsid w:val="007D5784"/>
    <w:rsid w:val="007D6D48"/>
    <w:rsid w:val="007D7AF0"/>
    <w:rsid w:val="007E0854"/>
    <w:rsid w:val="007E15D9"/>
    <w:rsid w:val="007E328C"/>
    <w:rsid w:val="007E53F6"/>
    <w:rsid w:val="007F245C"/>
    <w:rsid w:val="007F37A8"/>
    <w:rsid w:val="007F42A3"/>
    <w:rsid w:val="007F4311"/>
    <w:rsid w:val="007F53A8"/>
    <w:rsid w:val="007F7CDF"/>
    <w:rsid w:val="007F7E0C"/>
    <w:rsid w:val="008000B1"/>
    <w:rsid w:val="0080031E"/>
    <w:rsid w:val="008014A7"/>
    <w:rsid w:val="00805EAC"/>
    <w:rsid w:val="0080626E"/>
    <w:rsid w:val="0081372D"/>
    <w:rsid w:val="0081386B"/>
    <w:rsid w:val="00813D77"/>
    <w:rsid w:val="008149CC"/>
    <w:rsid w:val="00815583"/>
    <w:rsid w:val="00815E92"/>
    <w:rsid w:val="00816793"/>
    <w:rsid w:val="00816A59"/>
    <w:rsid w:val="00817C26"/>
    <w:rsid w:val="00820C18"/>
    <w:rsid w:val="0082186E"/>
    <w:rsid w:val="00822204"/>
    <w:rsid w:val="0082246E"/>
    <w:rsid w:val="00822AC9"/>
    <w:rsid w:val="00823DEC"/>
    <w:rsid w:val="00825702"/>
    <w:rsid w:val="0082754D"/>
    <w:rsid w:val="008278BD"/>
    <w:rsid w:val="008302B4"/>
    <w:rsid w:val="00830569"/>
    <w:rsid w:val="00830B32"/>
    <w:rsid w:val="00833D9E"/>
    <w:rsid w:val="00835A73"/>
    <w:rsid w:val="008406B3"/>
    <w:rsid w:val="00843579"/>
    <w:rsid w:val="008453CF"/>
    <w:rsid w:val="00845D37"/>
    <w:rsid w:val="008461AE"/>
    <w:rsid w:val="00846AC2"/>
    <w:rsid w:val="00847774"/>
    <w:rsid w:val="00847D5A"/>
    <w:rsid w:val="00852F40"/>
    <w:rsid w:val="00853AD6"/>
    <w:rsid w:val="0085740D"/>
    <w:rsid w:val="0086089A"/>
    <w:rsid w:val="0086254A"/>
    <w:rsid w:val="00864188"/>
    <w:rsid w:val="00864BCE"/>
    <w:rsid w:val="00865898"/>
    <w:rsid w:val="00866B8C"/>
    <w:rsid w:val="00872457"/>
    <w:rsid w:val="00873725"/>
    <w:rsid w:val="00873DC6"/>
    <w:rsid w:val="00874AC0"/>
    <w:rsid w:val="008757F2"/>
    <w:rsid w:val="00876C91"/>
    <w:rsid w:val="00876EBA"/>
    <w:rsid w:val="00880212"/>
    <w:rsid w:val="00880EFC"/>
    <w:rsid w:val="008810BD"/>
    <w:rsid w:val="00881C96"/>
    <w:rsid w:val="00882258"/>
    <w:rsid w:val="00882E98"/>
    <w:rsid w:val="00883671"/>
    <w:rsid w:val="0088374C"/>
    <w:rsid w:val="00886235"/>
    <w:rsid w:val="00886FEE"/>
    <w:rsid w:val="00887D85"/>
    <w:rsid w:val="00890EA6"/>
    <w:rsid w:val="008923B5"/>
    <w:rsid w:val="00893EF9"/>
    <w:rsid w:val="008950B5"/>
    <w:rsid w:val="00896503"/>
    <w:rsid w:val="008965A1"/>
    <w:rsid w:val="0089670A"/>
    <w:rsid w:val="00897923"/>
    <w:rsid w:val="008A0E82"/>
    <w:rsid w:val="008A1CA2"/>
    <w:rsid w:val="008A1E56"/>
    <w:rsid w:val="008A217F"/>
    <w:rsid w:val="008A40DA"/>
    <w:rsid w:val="008A4CE5"/>
    <w:rsid w:val="008A5E66"/>
    <w:rsid w:val="008A6075"/>
    <w:rsid w:val="008B06FD"/>
    <w:rsid w:val="008B25E9"/>
    <w:rsid w:val="008B44B2"/>
    <w:rsid w:val="008B4714"/>
    <w:rsid w:val="008B4CC9"/>
    <w:rsid w:val="008B6CA7"/>
    <w:rsid w:val="008C1CD7"/>
    <w:rsid w:val="008C3458"/>
    <w:rsid w:val="008C4012"/>
    <w:rsid w:val="008C56CC"/>
    <w:rsid w:val="008C5AC4"/>
    <w:rsid w:val="008C6063"/>
    <w:rsid w:val="008C65D3"/>
    <w:rsid w:val="008C6C84"/>
    <w:rsid w:val="008C7488"/>
    <w:rsid w:val="008D47EE"/>
    <w:rsid w:val="008D4FD2"/>
    <w:rsid w:val="008E061A"/>
    <w:rsid w:val="008E0CEC"/>
    <w:rsid w:val="008E3131"/>
    <w:rsid w:val="008E37BA"/>
    <w:rsid w:val="008E4C8B"/>
    <w:rsid w:val="008E50D7"/>
    <w:rsid w:val="008E5B64"/>
    <w:rsid w:val="008E6F06"/>
    <w:rsid w:val="008F025E"/>
    <w:rsid w:val="008F1038"/>
    <w:rsid w:val="008F194E"/>
    <w:rsid w:val="008F1CEA"/>
    <w:rsid w:val="008F2348"/>
    <w:rsid w:val="008F2366"/>
    <w:rsid w:val="008F2C3C"/>
    <w:rsid w:val="008F4A02"/>
    <w:rsid w:val="008F5091"/>
    <w:rsid w:val="008F5C34"/>
    <w:rsid w:val="008F615D"/>
    <w:rsid w:val="008F669E"/>
    <w:rsid w:val="008F6A18"/>
    <w:rsid w:val="008F730D"/>
    <w:rsid w:val="009005FD"/>
    <w:rsid w:val="00900EC6"/>
    <w:rsid w:val="009036BE"/>
    <w:rsid w:val="00903B77"/>
    <w:rsid w:val="0090629A"/>
    <w:rsid w:val="0091045B"/>
    <w:rsid w:val="009105C2"/>
    <w:rsid w:val="00910EFA"/>
    <w:rsid w:val="00912046"/>
    <w:rsid w:val="00912AAA"/>
    <w:rsid w:val="00912BE8"/>
    <w:rsid w:val="00915032"/>
    <w:rsid w:val="00915E77"/>
    <w:rsid w:val="00920585"/>
    <w:rsid w:val="00921879"/>
    <w:rsid w:val="0092331C"/>
    <w:rsid w:val="00924176"/>
    <w:rsid w:val="00924434"/>
    <w:rsid w:val="0092500E"/>
    <w:rsid w:val="00927CF1"/>
    <w:rsid w:val="009321AE"/>
    <w:rsid w:val="00932BAA"/>
    <w:rsid w:val="00932DB1"/>
    <w:rsid w:val="0093678C"/>
    <w:rsid w:val="00936CC6"/>
    <w:rsid w:val="00940783"/>
    <w:rsid w:val="0094118B"/>
    <w:rsid w:val="00941681"/>
    <w:rsid w:val="00941863"/>
    <w:rsid w:val="0094202E"/>
    <w:rsid w:val="0094236A"/>
    <w:rsid w:val="00943BF1"/>
    <w:rsid w:val="009442AF"/>
    <w:rsid w:val="00944D28"/>
    <w:rsid w:val="00944E28"/>
    <w:rsid w:val="00945479"/>
    <w:rsid w:val="00945970"/>
    <w:rsid w:val="00945F79"/>
    <w:rsid w:val="009464F9"/>
    <w:rsid w:val="009468B2"/>
    <w:rsid w:val="009472CA"/>
    <w:rsid w:val="0095011F"/>
    <w:rsid w:val="00950C21"/>
    <w:rsid w:val="00950E68"/>
    <w:rsid w:val="009511C4"/>
    <w:rsid w:val="00954421"/>
    <w:rsid w:val="00963216"/>
    <w:rsid w:val="009654C8"/>
    <w:rsid w:val="00966E0F"/>
    <w:rsid w:val="009673C0"/>
    <w:rsid w:val="00970E38"/>
    <w:rsid w:val="00974BEB"/>
    <w:rsid w:val="009758F4"/>
    <w:rsid w:val="00977BA4"/>
    <w:rsid w:val="00980C30"/>
    <w:rsid w:val="00982A91"/>
    <w:rsid w:val="00986664"/>
    <w:rsid w:val="0098697E"/>
    <w:rsid w:val="009942D7"/>
    <w:rsid w:val="00995422"/>
    <w:rsid w:val="009A4676"/>
    <w:rsid w:val="009A4AC1"/>
    <w:rsid w:val="009A4EC8"/>
    <w:rsid w:val="009A7405"/>
    <w:rsid w:val="009B0C72"/>
    <w:rsid w:val="009B3742"/>
    <w:rsid w:val="009B3A15"/>
    <w:rsid w:val="009B4218"/>
    <w:rsid w:val="009B56B0"/>
    <w:rsid w:val="009B57FB"/>
    <w:rsid w:val="009B7196"/>
    <w:rsid w:val="009B719E"/>
    <w:rsid w:val="009C01C2"/>
    <w:rsid w:val="009C0DF5"/>
    <w:rsid w:val="009C2CCC"/>
    <w:rsid w:val="009C4F52"/>
    <w:rsid w:val="009C4FAE"/>
    <w:rsid w:val="009C5854"/>
    <w:rsid w:val="009C6868"/>
    <w:rsid w:val="009C686F"/>
    <w:rsid w:val="009C71CB"/>
    <w:rsid w:val="009D3B61"/>
    <w:rsid w:val="009D3CB1"/>
    <w:rsid w:val="009D48B9"/>
    <w:rsid w:val="009D6854"/>
    <w:rsid w:val="009D6B4D"/>
    <w:rsid w:val="009D79BD"/>
    <w:rsid w:val="009E105F"/>
    <w:rsid w:val="009E40BD"/>
    <w:rsid w:val="009E427C"/>
    <w:rsid w:val="009E4FB0"/>
    <w:rsid w:val="009E5C0B"/>
    <w:rsid w:val="009E655F"/>
    <w:rsid w:val="009E7E5A"/>
    <w:rsid w:val="009F0AE2"/>
    <w:rsid w:val="009F458F"/>
    <w:rsid w:val="009F4ED1"/>
    <w:rsid w:val="009F594D"/>
    <w:rsid w:val="009F6190"/>
    <w:rsid w:val="009F7401"/>
    <w:rsid w:val="009F776B"/>
    <w:rsid w:val="00A00223"/>
    <w:rsid w:val="00A0041D"/>
    <w:rsid w:val="00A00FE2"/>
    <w:rsid w:val="00A03B4D"/>
    <w:rsid w:val="00A04AF6"/>
    <w:rsid w:val="00A05DFB"/>
    <w:rsid w:val="00A06FA4"/>
    <w:rsid w:val="00A101E6"/>
    <w:rsid w:val="00A10ACF"/>
    <w:rsid w:val="00A113B3"/>
    <w:rsid w:val="00A13FBD"/>
    <w:rsid w:val="00A144FF"/>
    <w:rsid w:val="00A14E3C"/>
    <w:rsid w:val="00A15148"/>
    <w:rsid w:val="00A17B9C"/>
    <w:rsid w:val="00A2065C"/>
    <w:rsid w:val="00A2300A"/>
    <w:rsid w:val="00A232B3"/>
    <w:rsid w:val="00A23AEF"/>
    <w:rsid w:val="00A23D9E"/>
    <w:rsid w:val="00A2574E"/>
    <w:rsid w:val="00A31009"/>
    <w:rsid w:val="00A31FF1"/>
    <w:rsid w:val="00A329FA"/>
    <w:rsid w:val="00A33D76"/>
    <w:rsid w:val="00A367B6"/>
    <w:rsid w:val="00A36B36"/>
    <w:rsid w:val="00A36EF8"/>
    <w:rsid w:val="00A37769"/>
    <w:rsid w:val="00A40D0D"/>
    <w:rsid w:val="00A418B8"/>
    <w:rsid w:val="00A4289C"/>
    <w:rsid w:val="00A443EF"/>
    <w:rsid w:val="00A4469F"/>
    <w:rsid w:val="00A44B31"/>
    <w:rsid w:val="00A457A7"/>
    <w:rsid w:val="00A46DE9"/>
    <w:rsid w:val="00A5017A"/>
    <w:rsid w:val="00A5117E"/>
    <w:rsid w:val="00A5171F"/>
    <w:rsid w:val="00A521DE"/>
    <w:rsid w:val="00A560C9"/>
    <w:rsid w:val="00A573AE"/>
    <w:rsid w:val="00A6031F"/>
    <w:rsid w:val="00A604F5"/>
    <w:rsid w:val="00A62035"/>
    <w:rsid w:val="00A624BC"/>
    <w:rsid w:val="00A6267E"/>
    <w:rsid w:val="00A63168"/>
    <w:rsid w:val="00A64550"/>
    <w:rsid w:val="00A64A15"/>
    <w:rsid w:val="00A65A75"/>
    <w:rsid w:val="00A65F98"/>
    <w:rsid w:val="00A66BB5"/>
    <w:rsid w:val="00A703C5"/>
    <w:rsid w:val="00A71139"/>
    <w:rsid w:val="00A72A44"/>
    <w:rsid w:val="00A72DC3"/>
    <w:rsid w:val="00A73242"/>
    <w:rsid w:val="00A74294"/>
    <w:rsid w:val="00A75E05"/>
    <w:rsid w:val="00A76702"/>
    <w:rsid w:val="00A770C2"/>
    <w:rsid w:val="00A7770F"/>
    <w:rsid w:val="00A80DDF"/>
    <w:rsid w:val="00A8170C"/>
    <w:rsid w:val="00A82819"/>
    <w:rsid w:val="00A82F5D"/>
    <w:rsid w:val="00A842F2"/>
    <w:rsid w:val="00A85804"/>
    <w:rsid w:val="00A86121"/>
    <w:rsid w:val="00A8639E"/>
    <w:rsid w:val="00A86591"/>
    <w:rsid w:val="00A903FE"/>
    <w:rsid w:val="00A9266D"/>
    <w:rsid w:val="00A93858"/>
    <w:rsid w:val="00A9514B"/>
    <w:rsid w:val="00A959F9"/>
    <w:rsid w:val="00A9644A"/>
    <w:rsid w:val="00A97ECF"/>
    <w:rsid w:val="00AA17CB"/>
    <w:rsid w:val="00AA19C5"/>
    <w:rsid w:val="00AA2075"/>
    <w:rsid w:val="00AA2FB4"/>
    <w:rsid w:val="00AA397E"/>
    <w:rsid w:val="00AA4D34"/>
    <w:rsid w:val="00AA5611"/>
    <w:rsid w:val="00AA60AD"/>
    <w:rsid w:val="00AB0E8E"/>
    <w:rsid w:val="00AB18D2"/>
    <w:rsid w:val="00AB2A21"/>
    <w:rsid w:val="00AB38A6"/>
    <w:rsid w:val="00AB3F2F"/>
    <w:rsid w:val="00AB4FC6"/>
    <w:rsid w:val="00AC2969"/>
    <w:rsid w:val="00AC33C9"/>
    <w:rsid w:val="00AC4F14"/>
    <w:rsid w:val="00AC71C5"/>
    <w:rsid w:val="00AC7ED6"/>
    <w:rsid w:val="00AD01BE"/>
    <w:rsid w:val="00AD02AF"/>
    <w:rsid w:val="00AD058E"/>
    <w:rsid w:val="00AD12EB"/>
    <w:rsid w:val="00AD4AEC"/>
    <w:rsid w:val="00AD67DA"/>
    <w:rsid w:val="00AD7059"/>
    <w:rsid w:val="00AE107E"/>
    <w:rsid w:val="00AE31F1"/>
    <w:rsid w:val="00AE35D1"/>
    <w:rsid w:val="00AE51DE"/>
    <w:rsid w:val="00AE53F8"/>
    <w:rsid w:val="00AE7496"/>
    <w:rsid w:val="00AF0613"/>
    <w:rsid w:val="00AF26B7"/>
    <w:rsid w:val="00AF27C8"/>
    <w:rsid w:val="00AF3903"/>
    <w:rsid w:val="00AF61D9"/>
    <w:rsid w:val="00B0077A"/>
    <w:rsid w:val="00B00C9B"/>
    <w:rsid w:val="00B05628"/>
    <w:rsid w:val="00B07608"/>
    <w:rsid w:val="00B07C44"/>
    <w:rsid w:val="00B112D9"/>
    <w:rsid w:val="00B16E7C"/>
    <w:rsid w:val="00B17105"/>
    <w:rsid w:val="00B17802"/>
    <w:rsid w:val="00B2367A"/>
    <w:rsid w:val="00B24474"/>
    <w:rsid w:val="00B24C36"/>
    <w:rsid w:val="00B25449"/>
    <w:rsid w:val="00B26FDD"/>
    <w:rsid w:val="00B311E5"/>
    <w:rsid w:val="00B31927"/>
    <w:rsid w:val="00B31B4A"/>
    <w:rsid w:val="00B33207"/>
    <w:rsid w:val="00B34886"/>
    <w:rsid w:val="00B34A0F"/>
    <w:rsid w:val="00B34BCD"/>
    <w:rsid w:val="00B3550C"/>
    <w:rsid w:val="00B35A13"/>
    <w:rsid w:val="00B406F6"/>
    <w:rsid w:val="00B42A96"/>
    <w:rsid w:val="00B43963"/>
    <w:rsid w:val="00B43EE6"/>
    <w:rsid w:val="00B45B97"/>
    <w:rsid w:val="00B4658E"/>
    <w:rsid w:val="00B470AE"/>
    <w:rsid w:val="00B50B95"/>
    <w:rsid w:val="00B51063"/>
    <w:rsid w:val="00B5365C"/>
    <w:rsid w:val="00B546ED"/>
    <w:rsid w:val="00B54C4A"/>
    <w:rsid w:val="00B57D15"/>
    <w:rsid w:val="00B61432"/>
    <w:rsid w:val="00B63384"/>
    <w:rsid w:val="00B65965"/>
    <w:rsid w:val="00B65B47"/>
    <w:rsid w:val="00B6613B"/>
    <w:rsid w:val="00B67092"/>
    <w:rsid w:val="00B67D76"/>
    <w:rsid w:val="00B7015D"/>
    <w:rsid w:val="00B71A64"/>
    <w:rsid w:val="00B72FB8"/>
    <w:rsid w:val="00B745C0"/>
    <w:rsid w:val="00B7717B"/>
    <w:rsid w:val="00B802B0"/>
    <w:rsid w:val="00B82F5D"/>
    <w:rsid w:val="00B83A4A"/>
    <w:rsid w:val="00B83AB6"/>
    <w:rsid w:val="00B83FCB"/>
    <w:rsid w:val="00B8588D"/>
    <w:rsid w:val="00B90321"/>
    <w:rsid w:val="00B92FDD"/>
    <w:rsid w:val="00B93611"/>
    <w:rsid w:val="00B94525"/>
    <w:rsid w:val="00B9743C"/>
    <w:rsid w:val="00B9762F"/>
    <w:rsid w:val="00B97D38"/>
    <w:rsid w:val="00BA0B5C"/>
    <w:rsid w:val="00BA1A4B"/>
    <w:rsid w:val="00BA2DBD"/>
    <w:rsid w:val="00BA5A6C"/>
    <w:rsid w:val="00BA6835"/>
    <w:rsid w:val="00BA7E1B"/>
    <w:rsid w:val="00BB1831"/>
    <w:rsid w:val="00BB2426"/>
    <w:rsid w:val="00BB295B"/>
    <w:rsid w:val="00BB2A74"/>
    <w:rsid w:val="00BB2CA7"/>
    <w:rsid w:val="00BB31A1"/>
    <w:rsid w:val="00BB354C"/>
    <w:rsid w:val="00BB659E"/>
    <w:rsid w:val="00BB6767"/>
    <w:rsid w:val="00BB6BC3"/>
    <w:rsid w:val="00BB731B"/>
    <w:rsid w:val="00BB7364"/>
    <w:rsid w:val="00BC167D"/>
    <w:rsid w:val="00BC3F77"/>
    <w:rsid w:val="00BC47A1"/>
    <w:rsid w:val="00BC4934"/>
    <w:rsid w:val="00BC56D0"/>
    <w:rsid w:val="00BC5D9A"/>
    <w:rsid w:val="00BC7765"/>
    <w:rsid w:val="00BD0350"/>
    <w:rsid w:val="00BD12D5"/>
    <w:rsid w:val="00BD1501"/>
    <w:rsid w:val="00BD23E9"/>
    <w:rsid w:val="00BD2CE0"/>
    <w:rsid w:val="00BD6831"/>
    <w:rsid w:val="00BE06C5"/>
    <w:rsid w:val="00BE0CFA"/>
    <w:rsid w:val="00BE17CF"/>
    <w:rsid w:val="00BE23ED"/>
    <w:rsid w:val="00BE23FF"/>
    <w:rsid w:val="00BE2867"/>
    <w:rsid w:val="00BE2A09"/>
    <w:rsid w:val="00BE2AE4"/>
    <w:rsid w:val="00BE3923"/>
    <w:rsid w:val="00BE6331"/>
    <w:rsid w:val="00BE700A"/>
    <w:rsid w:val="00BE7744"/>
    <w:rsid w:val="00BF077C"/>
    <w:rsid w:val="00BF1000"/>
    <w:rsid w:val="00BF125B"/>
    <w:rsid w:val="00BF3A6A"/>
    <w:rsid w:val="00BF50C6"/>
    <w:rsid w:val="00BF5AAC"/>
    <w:rsid w:val="00C00D02"/>
    <w:rsid w:val="00C00E86"/>
    <w:rsid w:val="00C010C7"/>
    <w:rsid w:val="00C01CC9"/>
    <w:rsid w:val="00C02CEA"/>
    <w:rsid w:val="00C033EA"/>
    <w:rsid w:val="00C04D45"/>
    <w:rsid w:val="00C07DFC"/>
    <w:rsid w:val="00C10289"/>
    <w:rsid w:val="00C10E5A"/>
    <w:rsid w:val="00C1149C"/>
    <w:rsid w:val="00C154E1"/>
    <w:rsid w:val="00C15DE0"/>
    <w:rsid w:val="00C15E9A"/>
    <w:rsid w:val="00C21D31"/>
    <w:rsid w:val="00C22371"/>
    <w:rsid w:val="00C22733"/>
    <w:rsid w:val="00C24386"/>
    <w:rsid w:val="00C245FA"/>
    <w:rsid w:val="00C2501D"/>
    <w:rsid w:val="00C27175"/>
    <w:rsid w:val="00C27773"/>
    <w:rsid w:val="00C27D25"/>
    <w:rsid w:val="00C340B5"/>
    <w:rsid w:val="00C341F0"/>
    <w:rsid w:val="00C341F5"/>
    <w:rsid w:val="00C35647"/>
    <w:rsid w:val="00C3659B"/>
    <w:rsid w:val="00C36AB5"/>
    <w:rsid w:val="00C36FE1"/>
    <w:rsid w:val="00C40B42"/>
    <w:rsid w:val="00C41380"/>
    <w:rsid w:val="00C42D69"/>
    <w:rsid w:val="00C42F4D"/>
    <w:rsid w:val="00C43A00"/>
    <w:rsid w:val="00C517BA"/>
    <w:rsid w:val="00C54526"/>
    <w:rsid w:val="00C554A0"/>
    <w:rsid w:val="00C60A96"/>
    <w:rsid w:val="00C6340C"/>
    <w:rsid w:val="00C650B8"/>
    <w:rsid w:val="00C650BE"/>
    <w:rsid w:val="00C65A7A"/>
    <w:rsid w:val="00C65B88"/>
    <w:rsid w:val="00C7443E"/>
    <w:rsid w:val="00C74A33"/>
    <w:rsid w:val="00C75199"/>
    <w:rsid w:val="00C75651"/>
    <w:rsid w:val="00C7612F"/>
    <w:rsid w:val="00C80E57"/>
    <w:rsid w:val="00C82086"/>
    <w:rsid w:val="00C829F9"/>
    <w:rsid w:val="00C83AD9"/>
    <w:rsid w:val="00C85376"/>
    <w:rsid w:val="00C86FEA"/>
    <w:rsid w:val="00C90277"/>
    <w:rsid w:val="00C902F1"/>
    <w:rsid w:val="00C90E30"/>
    <w:rsid w:val="00C9291E"/>
    <w:rsid w:val="00C92F81"/>
    <w:rsid w:val="00C93458"/>
    <w:rsid w:val="00C93E2A"/>
    <w:rsid w:val="00C942F7"/>
    <w:rsid w:val="00C95060"/>
    <w:rsid w:val="00C96A29"/>
    <w:rsid w:val="00C96C28"/>
    <w:rsid w:val="00C979D7"/>
    <w:rsid w:val="00C97FF1"/>
    <w:rsid w:val="00CA05AF"/>
    <w:rsid w:val="00CA0876"/>
    <w:rsid w:val="00CA220B"/>
    <w:rsid w:val="00CA2ABF"/>
    <w:rsid w:val="00CA2E7F"/>
    <w:rsid w:val="00CA5783"/>
    <w:rsid w:val="00CA7FF4"/>
    <w:rsid w:val="00CB06F7"/>
    <w:rsid w:val="00CB0DD3"/>
    <w:rsid w:val="00CB17EA"/>
    <w:rsid w:val="00CB3443"/>
    <w:rsid w:val="00CB5CB1"/>
    <w:rsid w:val="00CB5F8D"/>
    <w:rsid w:val="00CB6F19"/>
    <w:rsid w:val="00CC05EE"/>
    <w:rsid w:val="00CC2F01"/>
    <w:rsid w:val="00CC67B8"/>
    <w:rsid w:val="00CC75C5"/>
    <w:rsid w:val="00CC799A"/>
    <w:rsid w:val="00CD0345"/>
    <w:rsid w:val="00CD209E"/>
    <w:rsid w:val="00CD2BF4"/>
    <w:rsid w:val="00CD38CA"/>
    <w:rsid w:val="00CD3C75"/>
    <w:rsid w:val="00CD7325"/>
    <w:rsid w:val="00CE1DD3"/>
    <w:rsid w:val="00CE4788"/>
    <w:rsid w:val="00CE65B7"/>
    <w:rsid w:val="00CE72C3"/>
    <w:rsid w:val="00CE7423"/>
    <w:rsid w:val="00CE7730"/>
    <w:rsid w:val="00CE7E18"/>
    <w:rsid w:val="00CF0817"/>
    <w:rsid w:val="00CF12E3"/>
    <w:rsid w:val="00CF1AFF"/>
    <w:rsid w:val="00CF2505"/>
    <w:rsid w:val="00CF48BB"/>
    <w:rsid w:val="00CF4D1D"/>
    <w:rsid w:val="00CF7528"/>
    <w:rsid w:val="00CF79E2"/>
    <w:rsid w:val="00D00FAF"/>
    <w:rsid w:val="00D0123D"/>
    <w:rsid w:val="00D029C6"/>
    <w:rsid w:val="00D03D9A"/>
    <w:rsid w:val="00D04C38"/>
    <w:rsid w:val="00D04E35"/>
    <w:rsid w:val="00D0583C"/>
    <w:rsid w:val="00D0588F"/>
    <w:rsid w:val="00D0665E"/>
    <w:rsid w:val="00D0781D"/>
    <w:rsid w:val="00D07BE7"/>
    <w:rsid w:val="00D12489"/>
    <w:rsid w:val="00D13549"/>
    <w:rsid w:val="00D13E1E"/>
    <w:rsid w:val="00D16FAE"/>
    <w:rsid w:val="00D204E5"/>
    <w:rsid w:val="00D21A86"/>
    <w:rsid w:val="00D227F7"/>
    <w:rsid w:val="00D235B0"/>
    <w:rsid w:val="00D2380E"/>
    <w:rsid w:val="00D23889"/>
    <w:rsid w:val="00D2603F"/>
    <w:rsid w:val="00D26628"/>
    <w:rsid w:val="00D27BB3"/>
    <w:rsid w:val="00D3009E"/>
    <w:rsid w:val="00D306A0"/>
    <w:rsid w:val="00D323DB"/>
    <w:rsid w:val="00D32914"/>
    <w:rsid w:val="00D36254"/>
    <w:rsid w:val="00D367EC"/>
    <w:rsid w:val="00D41C31"/>
    <w:rsid w:val="00D4466B"/>
    <w:rsid w:val="00D44A20"/>
    <w:rsid w:val="00D44A8C"/>
    <w:rsid w:val="00D456E5"/>
    <w:rsid w:val="00D46E57"/>
    <w:rsid w:val="00D4716A"/>
    <w:rsid w:val="00D518E1"/>
    <w:rsid w:val="00D51E2D"/>
    <w:rsid w:val="00D53470"/>
    <w:rsid w:val="00D537DA"/>
    <w:rsid w:val="00D53A94"/>
    <w:rsid w:val="00D53C8D"/>
    <w:rsid w:val="00D54447"/>
    <w:rsid w:val="00D56652"/>
    <w:rsid w:val="00D57496"/>
    <w:rsid w:val="00D57DA1"/>
    <w:rsid w:val="00D57EEC"/>
    <w:rsid w:val="00D603F2"/>
    <w:rsid w:val="00D6194D"/>
    <w:rsid w:val="00D62475"/>
    <w:rsid w:val="00D6274A"/>
    <w:rsid w:val="00D670B8"/>
    <w:rsid w:val="00D67DE9"/>
    <w:rsid w:val="00D743BE"/>
    <w:rsid w:val="00D75A5D"/>
    <w:rsid w:val="00D81669"/>
    <w:rsid w:val="00D839F1"/>
    <w:rsid w:val="00D86BF6"/>
    <w:rsid w:val="00D86E2F"/>
    <w:rsid w:val="00D905B6"/>
    <w:rsid w:val="00D909B8"/>
    <w:rsid w:val="00D90C89"/>
    <w:rsid w:val="00D9105D"/>
    <w:rsid w:val="00D93CF7"/>
    <w:rsid w:val="00D9443A"/>
    <w:rsid w:val="00D951FB"/>
    <w:rsid w:val="00D953F6"/>
    <w:rsid w:val="00DA035F"/>
    <w:rsid w:val="00DA1A30"/>
    <w:rsid w:val="00DA329A"/>
    <w:rsid w:val="00DA5EDA"/>
    <w:rsid w:val="00DA7764"/>
    <w:rsid w:val="00DB0BAA"/>
    <w:rsid w:val="00DB20F7"/>
    <w:rsid w:val="00DB5629"/>
    <w:rsid w:val="00DB5A0E"/>
    <w:rsid w:val="00DB5E20"/>
    <w:rsid w:val="00DC2417"/>
    <w:rsid w:val="00DC37A6"/>
    <w:rsid w:val="00DC384A"/>
    <w:rsid w:val="00DC4DAF"/>
    <w:rsid w:val="00DC4E6A"/>
    <w:rsid w:val="00DC5AAC"/>
    <w:rsid w:val="00DC5C05"/>
    <w:rsid w:val="00DC7293"/>
    <w:rsid w:val="00DD1D58"/>
    <w:rsid w:val="00DD27CB"/>
    <w:rsid w:val="00DD3FCA"/>
    <w:rsid w:val="00DD5477"/>
    <w:rsid w:val="00DD6EC9"/>
    <w:rsid w:val="00DE07F1"/>
    <w:rsid w:val="00DE0AB8"/>
    <w:rsid w:val="00DE0CDF"/>
    <w:rsid w:val="00DE0EB7"/>
    <w:rsid w:val="00DE1749"/>
    <w:rsid w:val="00DE602D"/>
    <w:rsid w:val="00DF10F6"/>
    <w:rsid w:val="00DF171E"/>
    <w:rsid w:val="00DF4581"/>
    <w:rsid w:val="00DF5D14"/>
    <w:rsid w:val="00DF711A"/>
    <w:rsid w:val="00E006DA"/>
    <w:rsid w:val="00E00B00"/>
    <w:rsid w:val="00E01E76"/>
    <w:rsid w:val="00E04B6B"/>
    <w:rsid w:val="00E05CA9"/>
    <w:rsid w:val="00E061F6"/>
    <w:rsid w:val="00E10A62"/>
    <w:rsid w:val="00E14300"/>
    <w:rsid w:val="00E15814"/>
    <w:rsid w:val="00E20DCD"/>
    <w:rsid w:val="00E21336"/>
    <w:rsid w:val="00E21EE1"/>
    <w:rsid w:val="00E225FD"/>
    <w:rsid w:val="00E24464"/>
    <w:rsid w:val="00E30D5A"/>
    <w:rsid w:val="00E30F2C"/>
    <w:rsid w:val="00E3109B"/>
    <w:rsid w:val="00E314CC"/>
    <w:rsid w:val="00E315DE"/>
    <w:rsid w:val="00E31DCD"/>
    <w:rsid w:val="00E31E75"/>
    <w:rsid w:val="00E36BF9"/>
    <w:rsid w:val="00E375EC"/>
    <w:rsid w:val="00E37AA8"/>
    <w:rsid w:val="00E41072"/>
    <w:rsid w:val="00E412B0"/>
    <w:rsid w:val="00E44CEB"/>
    <w:rsid w:val="00E45C7E"/>
    <w:rsid w:val="00E47DE4"/>
    <w:rsid w:val="00E5085F"/>
    <w:rsid w:val="00E50D22"/>
    <w:rsid w:val="00E52186"/>
    <w:rsid w:val="00E556DA"/>
    <w:rsid w:val="00E56BAF"/>
    <w:rsid w:val="00E570DA"/>
    <w:rsid w:val="00E61B30"/>
    <w:rsid w:val="00E6257D"/>
    <w:rsid w:val="00E63300"/>
    <w:rsid w:val="00E6460E"/>
    <w:rsid w:val="00E652F1"/>
    <w:rsid w:val="00E65C4D"/>
    <w:rsid w:val="00E67A97"/>
    <w:rsid w:val="00E717BE"/>
    <w:rsid w:val="00E718B7"/>
    <w:rsid w:val="00E72790"/>
    <w:rsid w:val="00E72B45"/>
    <w:rsid w:val="00E75F02"/>
    <w:rsid w:val="00E75F78"/>
    <w:rsid w:val="00E76369"/>
    <w:rsid w:val="00E768A0"/>
    <w:rsid w:val="00E76C79"/>
    <w:rsid w:val="00E80847"/>
    <w:rsid w:val="00E8353E"/>
    <w:rsid w:val="00E84826"/>
    <w:rsid w:val="00E84B5B"/>
    <w:rsid w:val="00E851DD"/>
    <w:rsid w:val="00E85B05"/>
    <w:rsid w:val="00E85E49"/>
    <w:rsid w:val="00E86B72"/>
    <w:rsid w:val="00E8787E"/>
    <w:rsid w:val="00E90D0A"/>
    <w:rsid w:val="00E915B7"/>
    <w:rsid w:val="00E924E3"/>
    <w:rsid w:val="00E9327F"/>
    <w:rsid w:val="00E94679"/>
    <w:rsid w:val="00E9499C"/>
    <w:rsid w:val="00E94AEB"/>
    <w:rsid w:val="00E96193"/>
    <w:rsid w:val="00EA43BF"/>
    <w:rsid w:val="00EA5BFE"/>
    <w:rsid w:val="00EA6289"/>
    <w:rsid w:val="00EB2A73"/>
    <w:rsid w:val="00EB470D"/>
    <w:rsid w:val="00EB50AA"/>
    <w:rsid w:val="00EB5EE7"/>
    <w:rsid w:val="00EB67BE"/>
    <w:rsid w:val="00EB6EDC"/>
    <w:rsid w:val="00EB70B6"/>
    <w:rsid w:val="00EB7AA0"/>
    <w:rsid w:val="00EC2092"/>
    <w:rsid w:val="00EC3572"/>
    <w:rsid w:val="00EC3DC5"/>
    <w:rsid w:val="00EC406D"/>
    <w:rsid w:val="00EC7810"/>
    <w:rsid w:val="00EC7A8E"/>
    <w:rsid w:val="00ED1A2F"/>
    <w:rsid w:val="00ED302B"/>
    <w:rsid w:val="00EE1878"/>
    <w:rsid w:val="00EE27A2"/>
    <w:rsid w:val="00EE30E5"/>
    <w:rsid w:val="00EE3300"/>
    <w:rsid w:val="00EE3875"/>
    <w:rsid w:val="00EE5881"/>
    <w:rsid w:val="00EE5CA7"/>
    <w:rsid w:val="00EE66EC"/>
    <w:rsid w:val="00EE6D8A"/>
    <w:rsid w:val="00EE77BE"/>
    <w:rsid w:val="00EF41F0"/>
    <w:rsid w:val="00EF4249"/>
    <w:rsid w:val="00EF7ACA"/>
    <w:rsid w:val="00EF7F67"/>
    <w:rsid w:val="00F01B7D"/>
    <w:rsid w:val="00F0242E"/>
    <w:rsid w:val="00F033FF"/>
    <w:rsid w:val="00F03620"/>
    <w:rsid w:val="00F04699"/>
    <w:rsid w:val="00F05A36"/>
    <w:rsid w:val="00F102F9"/>
    <w:rsid w:val="00F109B4"/>
    <w:rsid w:val="00F10E4B"/>
    <w:rsid w:val="00F10EF3"/>
    <w:rsid w:val="00F12BA5"/>
    <w:rsid w:val="00F13D1E"/>
    <w:rsid w:val="00F14C06"/>
    <w:rsid w:val="00F15036"/>
    <w:rsid w:val="00F240D8"/>
    <w:rsid w:val="00F24606"/>
    <w:rsid w:val="00F25169"/>
    <w:rsid w:val="00F25B55"/>
    <w:rsid w:val="00F27A7E"/>
    <w:rsid w:val="00F27ADC"/>
    <w:rsid w:val="00F31A75"/>
    <w:rsid w:val="00F31C5B"/>
    <w:rsid w:val="00F34F0C"/>
    <w:rsid w:val="00F35BE8"/>
    <w:rsid w:val="00F433E1"/>
    <w:rsid w:val="00F44441"/>
    <w:rsid w:val="00F4494A"/>
    <w:rsid w:val="00F50546"/>
    <w:rsid w:val="00F50B0C"/>
    <w:rsid w:val="00F51243"/>
    <w:rsid w:val="00F527FC"/>
    <w:rsid w:val="00F52B1F"/>
    <w:rsid w:val="00F567D8"/>
    <w:rsid w:val="00F569F6"/>
    <w:rsid w:val="00F60021"/>
    <w:rsid w:val="00F60C3C"/>
    <w:rsid w:val="00F63FC3"/>
    <w:rsid w:val="00F64267"/>
    <w:rsid w:val="00F646DB"/>
    <w:rsid w:val="00F6478A"/>
    <w:rsid w:val="00F65066"/>
    <w:rsid w:val="00F67259"/>
    <w:rsid w:val="00F72C94"/>
    <w:rsid w:val="00F733B5"/>
    <w:rsid w:val="00F73732"/>
    <w:rsid w:val="00F737CC"/>
    <w:rsid w:val="00F74F9C"/>
    <w:rsid w:val="00F7513A"/>
    <w:rsid w:val="00F7574B"/>
    <w:rsid w:val="00F759F1"/>
    <w:rsid w:val="00F75CD3"/>
    <w:rsid w:val="00F7672D"/>
    <w:rsid w:val="00F76DF4"/>
    <w:rsid w:val="00F77285"/>
    <w:rsid w:val="00F800D7"/>
    <w:rsid w:val="00F81775"/>
    <w:rsid w:val="00F82482"/>
    <w:rsid w:val="00F82C8C"/>
    <w:rsid w:val="00F84992"/>
    <w:rsid w:val="00F8528C"/>
    <w:rsid w:val="00F85E8A"/>
    <w:rsid w:val="00F86565"/>
    <w:rsid w:val="00F86985"/>
    <w:rsid w:val="00F86AE4"/>
    <w:rsid w:val="00F878E2"/>
    <w:rsid w:val="00F87C79"/>
    <w:rsid w:val="00F90960"/>
    <w:rsid w:val="00F93D5C"/>
    <w:rsid w:val="00F940E5"/>
    <w:rsid w:val="00F94583"/>
    <w:rsid w:val="00F94E4B"/>
    <w:rsid w:val="00F97EE6"/>
    <w:rsid w:val="00FA04A7"/>
    <w:rsid w:val="00FA0806"/>
    <w:rsid w:val="00FA11D9"/>
    <w:rsid w:val="00FA5D58"/>
    <w:rsid w:val="00FA6022"/>
    <w:rsid w:val="00FB1A62"/>
    <w:rsid w:val="00FB2EA5"/>
    <w:rsid w:val="00FB5242"/>
    <w:rsid w:val="00FB5475"/>
    <w:rsid w:val="00FB707F"/>
    <w:rsid w:val="00FB7C34"/>
    <w:rsid w:val="00FC00D4"/>
    <w:rsid w:val="00FC019E"/>
    <w:rsid w:val="00FC14D7"/>
    <w:rsid w:val="00FC48C7"/>
    <w:rsid w:val="00FC4B19"/>
    <w:rsid w:val="00FC4F22"/>
    <w:rsid w:val="00FC5EDF"/>
    <w:rsid w:val="00FC7AD8"/>
    <w:rsid w:val="00FD1D70"/>
    <w:rsid w:val="00FD4EF4"/>
    <w:rsid w:val="00FD5A4E"/>
    <w:rsid w:val="00FD620B"/>
    <w:rsid w:val="00FD6BF4"/>
    <w:rsid w:val="00FE21FC"/>
    <w:rsid w:val="00FE2E1F"/>
    <w:rsid w:val="00FE3099"/>
    <w:rsid w:val="00FE31E8"/>
    <w:rsid w:val="00FE3A93"/>
    <w:rsid w:val="00FE3EF2"/>
    <w:rsid w:val="00FE4983"/>
    <w:rsid w:val="00FE510E"/>
    <w:rsid w:val="00FE6A8D"/>
    <w:rsid w:val="00FF2DD6"/>
    <w:rsid w:val="00FF3572"/>
    <w:rsid w:val="00FF6A0D"/>
    <w:rsid w:val="0122529C"/>
    <w:rsid w:val="012F653A"/>
    <w:rsid w:val="01732866"/>
    <w:rsid w:val="019C1E43"/>
    <w:rsid w:val="01BA5354"/>
    <w:rsid w:val="01D42C7D"/>
    <w:rsid w:val="01E049A3"/>
    <w:rsid w:val="02050356"/>
    <w:rsid w:val="026117DE"/>
    <w:rsid w:val="0273635F"/>
    <w:rsid w:val="028D2630"/>
    <w:rsid w:val="0290266E"/>
    <w:rsid w:val="02C8229D"/>
    <w:rsid w:val="02CD6D3B"/>
    <w:rsid w:val="02E25DB5"/>
    <w:rsid w:val="02E30C60"/>
    <w:rsid w:val="03200295"/>
    <w:rsid w:val="03242EFE"/>
    <w:rsid w:val="038635B0"/>
    <w:rsid w:val="03BA0B1E"/>
    <w:rsid w:val="03C10FC5"/>
    <w:rsid w:val="03CF5E4B"/>
    <w:rsid w:val="047C498B"/>
    <w:rsid w:val="049F5620"/>
    <w:rsid w:val="04A5753F"/>
    <w:rsid w:val="04CA006A"/>
    <w:rsid w:val="04CC2506"/>
    <w:rsid w:val="04E17DA6"/>
    <w:rsid w:val="04FB65F3"/>
    <w:rsid w:val="05023FDC"/>
    <w:rsid w:val="0512745A"/>
    <w:rsid w:val="0571302A"/>
    <w:rsid w:val="05A90ADD"/>
    <w:rsid w:val="05B8737D"/>
    <w:rsid w:val="05BC53EA"/>
    <w:rsid w:val="05CE4FD2"/>
    <w:rsid w:val="05F77FB6"/>
    <w:rsid w:val="05FB0411"/>
    <w:rsid w:val="05FC7241"/>
    <w:rsid w:val="06623E36"/>
    <w:rsid w:val="06675138"/>
    <w:rsid w:val="066D1DCC"/>
    <w:rsid w:val="06D35242"/>
    <w:rsid w:val="06D63EA0"/>
    <w:rsid w:val="06E11454"/>
    <w:rsid w:val="06F12DC1"/>
    <w:rsid w:val="07047DFF"/>
    <w:rsid w:val="07302240"/>
    <w:rsid w:val="075849E4"/>
    <w:rsid w:val="0788352A"/>
    <w:rsid w:val="07977E87"/>
    <w:rsid w:val="07B15FEB"/>
    <w:rsid w:val="07B51763"/>
    <w:rsid w:val="07C34679"/>
    <w:rsid w:val="07D07F88"/>
    <w:rsid w:val="07DD1DB1"/>
    <w:rsid w:val="07E604A3"/>
    <w:rsid w:val="08277403"/>
    <w:rsid w:val="085936D3"/>
    <w:rsid w:val="08767CB7"/>
    <w:rsid w:val="08EA1265"/>
    <w:rsid w:val="08FC4534"/>
    <w:rsid w:val="09A73D3F"/>
    <w:rsid w:val="09BD281D"/>
    <w:rsid w:val="0A473463"/>
    <w:rsid w:val="0A79371E"/>
    <w:rsid w:val="0B062CD9"/>
    <w:rsid w:val="0B165180"/>
    <w:rsid w:val="0BA5732D"/>
    <w:rsid w:val="0BE254BB"/>
    <w:rsid w:val="0BF43856"/>
    <w:rsid w:val="0C106DE6"/>
    <w:rsid w:val="0C225054"/>
    <w:rsid w:val="0C2575F0"/>
    <w:rsid w:val="0C5F50DE"/>
    <w:rsid w:val="0CFD4EF6"/>
    <w:rsid w:val="0D0768A1"/>
    <w:rsid w:val="0D1067E1"/>
    <w:rsid w:val="0D3618C9"/>
    <w:rsid w:val="0D4861C9"/>
    <w:rsid w:val="0D4B462F"/>
    <w:rsid w:val="0D946F1C"/>
    <w:rsid w:val="0DAD574B"/>
    <w:rsid w:val="0DB9673F"/>
    <w:rsid w:val="0DDF46F8"/>
    <w:rsid w:val="0DFB4177"/>
    <w:rsid w:val="0DFC158E"/>
    <w:rsid w:val="0E0711F4"/>
    <w:rsid w:val="0E295CE0"/>
    <w:rsid w:val="0E5416C5"/>
    <w:rsid w:val="0E5B0F29"/>
    <w:rsid w:val="0EE83323"/>
    <w:rsid w:val="0EF13183"/>
    <w:rsid w:val="0EF645A0"/>
    <w:rsid w:val="0EFE409B"/>
    <w:rsid w:val="0F156105"/>
    <w:rsid w:val="0F235963"/>
    <w:rsid w:val="0F2708AA"/>
    <w:rsid w:val="0F4A7836"/>
    <w:rsid w:val="0F864D05"/>
    <w:rsid w:val="0F8D4E2B"/>
    <w:rsid w:val="0FDC1C6D"/>
    <w:rsid w:val="103E7FAD"/>
    <w:rsid w:val="104D1586"/>
    <w:rsid w:val="1056502F"/>
    <w:rsid w:val="105C39CB"/>
    <w:rsid w:val="10DE652B"/>
    <w:rsid w:val="10E71DA0"/>
    <w:rsid w:val="112602A2"/>
    <w:rsid w:val="11280B1C"/>
    <w:rsid w:val="11376F46"/>
    <w:rsid w:val="11433A5A"/>
    <w:rsid w:val="114E5EC4"/>
    <w:rsid w:val="11713662"/>
    <w:rsid w:val="11CD2CC4"/>
    <w:rsid w:val="120F5F2B"/>
    <w:rsid w:val="121378CB"/>
    <w:rsid w:val="12441D89"/>
    <w:rsid w:val="12551DD1"/>
    <w:rsid w:val="125602B5"/>
    <w:rsid w:val="1289010C"/>
    <w:rsid w:val="12A12278"/>
    <w:rsid w:val="12A83895"/>
    <w:rsid w:val="12FD0B88"/>
    <w:rsid w:val="12FE13F5"/>
    <w:rsid w:val="133258CE"/>
    <w:rsid w:val="1360451F"/>
    <w:rsid w:val="136C3A80"/>
    <w:rsid w:val="13776D02"/>
    <w:rsid w:val="13BA559C"/>
    <w:rsid w:val="13F55CBF"/>
    <w:rsid w:val="14572DC0"/>
    <w:rsid w:val="14787812"/>
    <w:rsid w:val="14EB6B49"/>
    <w:rsid w:val="14F20D21"/>
    <w:rsid w:val="150D4AD1"/>
    <w:rsid w:val="15237A5E"/>
    <w:rsid w:val="153E6BF4"/>
    <w:rsid w:val="155A5E40"/>
    <w:rsid w:val="156628FE"/>
    <w:rsid w:val="16442E4A"/>
    <w:rsid w:val="164B1F1A"/>
    <w:rsid w:val="165F1F3B"/>
    <w:rsid w:val="16653911"/>
    <w:rsid w:val="16812211"/>
    <w:rsid w:val="16975291"/>
    <w:rsid w:val="16EB36BD"/>
    <w:rsid w:val="16FB23A6"/>
    <w:rsid w:val="17040EB5"/>
    <w:rsid w:val="17095A57"/>
    <w:rsid w:val="170C25CA"/>
    <w:rsid w:val="17196035"/>
    <w:rsid w:val="172E642C"/>
    <w:rsid w:val="17546682"/>
    <w:rsid w:val="178F388B"/>
    <w:rsid w:val="17922E91"/>
    <w:rsid w:val="17AE67F6"/>
    <w:rsid w:val="17DE53C7"/>
    <w:rsid w:val="17F36A31"/>
    <w:rsid w:val="18592295"/>
    <w:rsid w:val="18613C12"/>
    <w:rsid w:val="18A30F3E"/>
    <w:rsid w:val="18BA3E1B"/>
    <w:rsid w:val="18D23E23"/>
    <w:rsid w:val="19674BBB"/>
    <w:rsid w:val="19817820"/>
    <w:rsid w:val="199C4FAA"/>
    <w:rsid w:val="19A45977"/>
    <w:rsid w:val="19FC1ACA"/>
    <w:rsid w:val="1A37693E"/>
    <w:rsid w:val="1A45132F"/>
    <w:rsid w:val="1A4A5089"/>
    <w:rsid w:val="1A4C059F"/>
    <w:rsid w:val="1A87775E"/>
    <w:rsid w:val="1A9066E0"/>
    <w:rsid w:val="1AAD75FE"/>
    <w:rsid w:val="1BB60381"/>
    <w:rsid w:val="1BCD1E3F"/>
    <w:rsid w:val="1BDA44C9"/>
    <w:rsid w:val="1C373FCB"/>
    <w:rsid w:val="1C434E46"/>
    <w:rsid w:val="1C4A53C9"/>
    <w:rsid w:val="1C7E5D6D"/>
    <w:rsid w:val="1CE02463"/>
    <w:rsid w:val="1CE41D01"/>
    <w:rsid w:val="1CF76466"/>
    <w:rsid w:val="1D3A2B7E"/>
    <w:rsid w:val="1D3D09F8"/>
    <w:rsid w:val="1D545270"/>
    <w:rsid w:val="1D67721F"/>
    <w:rsid w:val="1D6F05C2"/>
    <w:rsid w:val="1D845E8E"/>
    <w:rsid w:val="1DB568D6"/>
    <w:rsid w:val="1DC44199"/>
    <w:rsid w:val="1DD2018A"/>
    <w:rsid w:val="1DEF7E97"/>
    <w:rsid w:val="1E067299"/>
    <w:rsid w:val="1E0C7C75"/>
    <w:rsid w:val="1E831AEF"/>
    <w:rsid w:val="1E8D6E7C"/>
    <w:rsid w:val="1F057911"/>
    <w:rsid w:val="1F1C6416"/>
    <w:rsid w:val="1F5331AE"/>
    <w:rsid w:val="1F614E41"/>
    <w:rsid w:val="1F640E97"/>
    <w:rsid w:val="1F904EB4"/>
    <w:rsid w:val="1FE30889"/>
    <w:rsid w:val="1FF11C57"/>
    <w:rsid w:val="203329CD"/>
    <w:rsid w:val="20715AAF"/>
    <w:rsid w:val="20834026"/>
    <w:rsid w:val="214F1F1D"/>
    <w:rsid w:val="215240CB"/>
    <w:rsid w:val="2188778C"/>
    <w:rsid w:val="218E2372"/>
    <w:rsid w:val="21921A0F"/>
    <w:rsid w:val="21ED6476"/>
    <w:rsid w:val="22120532"/>
    <w:rsid w:val="223E7844"/>
    <w:rsid w:val="22434D5C"/>
    <w:rsid w:val="22590643"/>
    <w:rsid w:val="226A4C31"/>
    <w:rsid w:val="22C37268"/>
    <w:rsid w:val="22D20A08"/>
    <w:rsid w:val="22D402FC"/>
    <w:rsid w:val="22D724A9"/>
    <w:rsid w:val="230164E4"/>
    <w:rsid w:val="232E268B"/>
    <w:rsid w:val="233E0991"/>
    <w:rsid w:val="237D2073"/>
    <w:rsid w:val="23987171"/>
    <w:rsid w:val="23C245F9"/>
    <w:rsid w:val="23D6098C"/>
    <w:rsid w:val="240628E9"/>
    <w:rsid w:val="242527F6"/>
    <w:rsid w:val="24270B26"/>
    <w:rsid w:val="2432352D"/>
    <w:rsid w:val="24B00F26"/>
    <w:rsid w:val="24D46A1F"/>
    <w:rsid w:val="24EC72D5"/>
    <w:rsid w:val="251B2C17"/>
    <w:rsid w:val="25591B81"/>
    <w:rsid w:val="259F55D2"/>
    <w:rsid w:val="260C66B5"/>
    <w:rsid w:val="2619439D"/>
    <w:rsid w:val="263A39CF"/>
    <w:rsid w:val="26590E4C"/>
    <w:rsid w:val="26731DA1"/>
    <w:rsid w:val="268D18BC"/>
    <w:rsid w:val="26D54803"/>
    <w:rsid w:val="26F24C8B"/>
    <w:rsid w:val="26F82606"/>
    <w:rsid w:val="270D0D98"/>
    <w:rsid w:val="272B7390"/>
    <w:rsid w:val="274B1D04"/>
    <w:rsid w:val="27666785"/>
    <w:rsid w:val="27955621"/>
    <w:rsid w:val="27A10D5C"/>
    <w:rsid w:val="27A6668F"/>
    <w:rsid w:val="27A831DA"/>
    <w:rsid w:val="27BC0CF9"/>
    <w:rsid w:val="27CE48D0"/>
    <w:rsid w:val="27D91A9F"/>
    <w:rsid w:val="286766E4"/>
    <w:rsid w:val="28780AA8"/>
    <w:rsid w:val="288538E0"/>
    <w:rsid w:val="28B25465"/>
    <w:rsid w:val="28D81911"/>
    <w:rsid w:val="291A06DD"/>
    <w:rsid w:val="298C62B1"/>
    <w:rsid w:val="2A155345"/>
    <w:rsid w:val="2A173FA7"/>
    <w:rsid w:val="2A1918F8"/>
    <w:rsid w:val="2A4247DA"/>
    <w:rsid w:val="2A54165B"/>
    <w:rsid w:val="2A550D9E"/>
    <w:rsid w:val="2A6F775B"/>
    <w:rsid w:val="2A737306"/>
    <w:rsid w:val="2A7B30FE"/>
    <w:rsid w:val="2AB31AE1"/>
    <w:rsid w:val="2ACD656D"/>
    <w:rsid w:val="2AFD72B9"/>
    <w:rsid w:val="2B095172"/>
    <w:rsid w:val="2B333424"/>
    <w:rsid w:val="2B4F2EE3"/>
    <w:rsid w:val="2B6C27B9"/>
    <w:rsid w:val="2BB06E96"/>
    <w:rsid w:val="2C090FE8"/>
    <w:rsid w:val="2C2A429A"/>
    <w:rsid w:val="2C8D7E9A"/>
    <w:rsid w:val="2CAB5719"/>
    <w:rsid w:val="2CE63FAE"/>
    <w:rsid w:val="2D0B680A"/>
    <w:rsid w:val="2D127131"/>
    <w:rsid w:val="2D1E5FF6"/>
    <w:rsid w:val="2D39592C"/>
    <w:rsid w:val="2D4B6E04"/>
    <w:rsid w:val="2D912CCB"/>
    <w:rsid w:val="2DAB5A86"/>
    <w:rsid w:val="2DD52983"/>
    <w:rsid w:val="2E363BE7"/>
    <w:rsid w:val="2E3F7E5E"/>
    <w:rsid w:val="2E5A2A3F"/>
    <w:rsid w:val="2E636B77"/>
    <w:rsid w:val="2E781EF2"/>
    <w:rsid w:val="2EB15996"/>
    <w:rsid w:val="2EBB1918"/>
    <w:rsid w:val="2ED67CE8"/>
    <w:rsid w:val="2EFB558E"/>
    <w:rsid w:val="2F0C712D"/>
    <w:rsid w:val="2F1967E0"/>
    <w:rsid w:val="2F394D84"/>
    <w:rsid w:val="2F5F349A"/>
    <w:rsid w:val="2F644883"/>
    <w:rsid w:val="2FAA14E7"/>
    <w:rsid w:val="2FB36522"/>
    <w:rsid w:val="30504163"/>
    <w:rsid w:val="30645601"/>
    <w:rsid w:val="306B3335"/>
    <w:rsid w:val="309131D3"/>
    <w:rsid w:val="30C270FF"/>
    <w:rsid w:val="310444A3"/>
    <w:rsid w:val="313C37AB"/>
    <w:rsid w:val="316E4257"/>
    <w:rsid w:val="319D68B8"/>
    <w:rsid w:val="31AC1547"/>
    <w:rsid w:val="31C60A97"/>
    <w:rsid w:val="32035F7D"/>
    <w:rsid w:val="321D4EAF"/>
    <w:rsid w:val="325C303E"/>
    <w:rsid w:val="3294454D"/>
    <w:rsid w:val="329C6225"/>
    <w:rsid w:val="32E648D8"/>
    <w:rsid w:val="331A5C1C"/>
    <w:rsid w:val="33266F01"/>
    <w:rsid w:val="332D391C"/>
    <w:rsid w:val="333219E6"/>
    <w:rsid w:val="336D0320"/>
    <w:rsid w:val="33885297"/>
    <w:rsid w:val="33B645E2"/>
    <w:rsid w:val="33BF6CF0"/>
    <w:rsid w:val="33C7114C"/>
    <w:rsid w:val="33F853C2"/>
    <w:rsid w:val="3424559A"/>
    <w:rsid w:val="348E14A3"/>
    <w:rsid w:val="34AB6268"/>
    <w:rsid w:val="34B53FF3"/>
    <w:rsid w:val="351E04F5"/>
    <w:rsid w:val="35607CA6"/>
    <w:rsid w:val="35A52C5C"/>
    <w:rsid w:val="35D05265"/>
    <w:rsid w:val="3624388C"/>
    <w:rsid w:val="36A7403C"/>
    <w:rsid w:val="36BB5FB7"/>
    <w:rsid w:val="37081AA3"/>
    <w:rsid w:val="3747333B"/>
    <w:rsid w:val="375B5AF9"/>
    <w:rsid w:val="377F033F"/>
    <w:rsid w:val="37D74C8D"/>
    <w:rsid w:val="37F73375"/>
    <w:rsid w:val="38133542"/>
    <w:rsid w:val="382201B3"/>
    <w:rsid w:val="384D64B5"/>
    <w:rsid w:val="387656AC"/>
    <w:rsid w:val="38846323"/>
    <w:rsid w:val="38926BFE"/>
    <w:rsid w:val="38B54ECB"/>
    <w:rsid w:val="38D00A74"/>
    <w:rsid w:val="390F5CA4"/>
    <w:rsid w:val="39573A89"/>
    <w:rsid w:val="396114CC"/>
    <w:rsid w:val="397E6A4F"/>
    <w:rsid w:val="398513BC"/>
    <w:rsid w:val="399934CC"/>
    <w:rsid w:val="39C4260D"/>
    <w:rsid w:val="39CD08CE"/>
    <w:rsid w:val="39CD0CF6"/>
    <w:rsid w:val="3A195335"/>
    <w:rsid w:val="3A44537C"/>
    <w:rsid w:val="3A541B29"/>
    <w:rsid w:val="3A6D66F0"/>
    <w:rsid w:val="3A8D3303"/>
    <w:rsid w:val="3A9B4B9B"/>
    <w:rsid w:val="3AA350D6"/>
    <w:rsid w:val="3AAD3535"/>
    <w:rsid w:val="3AB15248"/>
    <w:rsid w:val="3AED48E7"/>
    <w:rsid w:val="3B0246E0"/>
    <w:rsid w:val="3B0F4A23"/>
    <w:rsid w:val="3B103BFB"/>
    <w:rsid w:val="3B34348E"/>
    <w:rsid w:val="3B7C7689"/>
    <w:rsid w:val="3B93532B"/>
    <w:rsid w:val="3C413159"/>
    <w:rsid w:val="3C442E3A"/>
    <w:rsid w:val="3C47508C"/>
    <w:rsid w:val="3C7C5161"/>
    <w:rsid w:val="3C822127"/>
    <w:rsid w:val="3D5C2B92"/>
    <w:rsid w:val="3D9F2EDD"/>
    <w:rsid w:val="3DC64DFA"/>
    <w:rsid w:val="3E992908"/>
    <w:rsid w:val="3EA32667"/>
    <w:rsid w:val="3ED46035"/>
    <w:rsid w:val="3EE446D0"/>
    <w:rsid w:val="3F045795"/>
    <w:rsid w:val="3F0F4401"/>
    <w:rsid w:val="3F454161"/>
    <w:rsid w:val="3F650535"/>
    <w:rsid w:val="3F6E56CB"/>
    <w:rsid w:val="3FA24C30"/>
    <w:rsid w:val="3FF91AA4"/>
    <w:rsid w:val="400D3876"/>
    <w:rsid w:val="40415DE2"/>
    <w:rsid w:val="4050576F"/>
    <w:rsid w:val="40742B57"/>
    <w:rsid w:val="40864997"/>
    <w:rsid w:val="40A35119"/>
    <w:rsid w:val="40E2489F"/>
    <w:rsid w:val="40F77B80"/>
    <w:rsid w:val="4120166C"/>
    <w:rsid w:val="41335CF0"/>
    <w:rsid w:val="41453C8F"/>
    <w:rsid w:val="414756A0"/>
    <w:rsid w:val="419854ED"/>
    <w:rsid w:val="41AB0A42"/>
    <w:rsid w:val="41BC3913"/>
    <w:rsid w:val="42274827"/>
    <w:rsid w:val="42333613"/>
    <w:rsid w:val="4285053C"/>
    <w:rsid w:val="42D01C85"/>
    <w:rsid w:val="42E61FC6"/>
    <w:rsid w:val="431F6F07"/>
    <w:rsid w:val="432D0575"/>
    <w:rsid w:val="43B7529F"/>
    <w:rsid w:val="43F17A30"/>
    <w:rsid w:val="43F44F91"/>
    <w:rsid w:val="44881190"/>
    <w:rsid w:val="44A96C67"/>
    <w:rsid w:val="45866DBE"/>
    <w:rsid w:val="458C7B99"/>
    <w:rsid w:val="45FE550D"/>
    <w:rsid w:val="46481BB4"/>
    <w:rsid w:val="466B73FB"/>
    <w:rsid w:val="46C422B2"/>
    <w:rsid w:val="46DE757E"/>
    <w:rsid w:val="46F001F6"/>
    <w:rsid w:val="472E597E"/>
    <w:rsid w:val="478671B1"/>
    <w:rsid w:val="479D5722"/>
    <w:rsid w:val="47A81FB2"/>
    <w:rsid w:val="47A90E82"/>
    <w:rsid w:val="47F04B43"/>
    <w:rsid w:val="480C774C"/>
    <w:rsid w:val="483E069D"/>
    <w:rsid w:val="48453F09"/>
    <w:rsid w:val="48771E8E"/>
    <w:rsid w:val="489173A3"/>
    <w:rsid w:val="48B11D7B"/>
    <w:rsid w:val="48EC583F"/>
    <w:rsid w:val="493F6D16"/>
    <w:rsid w:val="49875D0B"/>
    <w:rsid w:val="49D12A69"/>
    <w:rsid w:val="49E2711E"/>
    <w:rsid w:val="49F32099"/>
    <w:rsid w:val="4A095D38"/>
    <w:rsid w:val="4A5D7E8E"/>
    <w:rsid w:val="4A7532B4"/>
    <w:rsid w:val="4A7B7623"/>
    <w:rsid w:val="4A990A95"/>
    <w:rsid w:val="4A9D11EE"/>
    <w:rsid w:val="4B3A2148"/>
    <w:rsid w:val="4B4F4C5F"/>
    <w:rsid w:val="4B5A2AF7"/>
    <w:rsid w:val="4B682F6C"/>
    <w:rsid w:val="4B694515"/>
    <w:rsid w:val="4B784F02"/>
    <w:rsid w:val="4B7F3000"/>
    <w:rsid w:val="4B83021E"/>
    <w:rsid w:val="4B971B7C"/>
    <w:rsid w:val="4C18596C"/>
    <w:rsid w:val="4C217631"/>
    <w:rsid w:val="4C371FA0"/>
    <w:rsid w:val="4C3F5C06"/>
    <w:rsid w:val="4C712A87"/>
    <w:rsid w:val="4CAB45AD"/>
    <w:rsid w:val="4CF90CD7"/>
    <w:rsid w:val="4D4D1D18"/>
    <w:rsid w:val="4D646055"/>
    <w:rsid w:val="4D865120"/>
    <w:rsid w:val="4DA97FC4"/>
    <w:rsid w:val="4DD0306A"/>
    <w:rsid w:val="4E0A3F2F"/>
    <w:rsid w:val="4E155188"/>
    <w:rsid w:val="4E215C75"/>
    <w:rsid w:val="4EBB3F9B"/>
    <w:rsid w:val="4EF32ECE"/>
    <w:rsid w:val="4EFB4B74"/>
    <w:rsid w:val="4F4330EC"/>
    <w:rsid w:val="4FFA529B"/>
    <w:rsid w:val="50695554"/>
    <w:rsid w:val="50AA6C07"/>
    <w:rsid w:val="50AD7DA4"/>
    <w:rsid w:val="50BA5154"/>
    <w:rsid w:val="50DD2157"/>
    <w:rsid w:val="51130D4B"/>
    <w:rsid w:val="51397F23"/>
    <w:rsid w:val="515C5E28"/>
    <w:rsid w:val="516F13BA"/>
    <w:rsid w:val="519733BF"/>
    <w:rsid w:val="51C02CB5"/>
    <w:rsid w:val="51ED3749"/>
    <w:rsid w:val="52071FCD"/>
    <w:rsid w:val="5209453E"/>
    <w:rsid w:val="52174711"/>
    <w:rsid w:val="52616BF3"/>
    <w:rsid w:val="526A44FC"/>
    <w:rsid w:val="526C1FF3"/>
    <w:rsid w:val="5276213D"/>
    <w:rsid w:val="52865C31"/>
    <w:rsid w:val="53042F4D"/>
    <w:rsid w:val="5307119C"/>
    <w:rsid w:val="53325B90"/>
    <w:rsid w:val="536E33AD"/>
    <w:rsid w:val="538D2109"/>
    <w:rsid w:val="53985E3D"/>
    <w:rsid w:val="53A2110F"/>
    <w:rsid w:val="53BA320D"/>
    <w:rsid w:val="54037C36"/>
    <w:rsid w:val="542309C8"/>
    <w:rsid w:val="543A48A3"/>
    <w:rsid w:val="54507729"/>
    <w:rsid w:val="54754715"/>
    <w:rsid w:val="54762BF2"/>
    <w:rsid w:val="549A222A"/>
    <w:rsid w:val="54A70ED4"/>
    <w:rsid w:val="54BD3679"/>
    <w:rsid w:val="54CA0617"/>
    <w:rsid w:val="54EA0E86"/>
    <w:rsid w:val="54EC75A4"/>
    <w:rsid w:val="54FD5038"/>
    <w:rsid w:val="55237322"/>
    <w:rsid w:val="55483638"/>
    <w:rsid w:val="55A07087"/>
    <w:rsid w:val="55C00887"/>
    <w:rsid w:val="55DD018B"/>
    <w:rsid w:val="55E26A1F"/>
    <w:rsid w:val="55F37050"/>
    <w:rsid w:val="56353298"/>
    <w:rsid w:val="565460FF"/>
    <w:rsid w:val="56575158"/>
    <w:rsid w:val="56674A08"/>
    <w:rsid w:val="56AF5345"/>
    <w:rsid w:val="571A5521"/>
    <w:rsid w:val="57881BC6"/>
    <w:rsid w:val="578C70B7"/>
    <w:rsid w:val="57A81AE1"/>
    <w:rsid w:val="57B641B5"/>
    <w:rsid w:val="57E846C5"/>
    <w:rsid w:val="5800058A"/>
    <w:rsid w:val="58085F05"/>
    <w:rsid w:val="58241620"/>
    <w:rsid w:val="58892D3B"/>
    <w:rsid w:val="589A41C6"/>
    <w:rsid w:val="58ED46D8"/>
    <w:rsid w:val="59147DB3"/>
    <w:rsid w:val="5917019C"/>
    <w:rsid w:val="595E3A7D"/>
    <w:rsid w:val="59912369"/>
    <w:rsid w:val="59AA75C6"/>
    <w:rsid w:val="59AC371D"/>
    <w:rsid w:val="59AD307A"/>
    <w:rsid w:val="59AD357B"/>
    <w:rsid w:val="59E57F5B"/>
    <w:rsid w:val="59EB0F89"/>
    <w:rsid w:val="5A3E40F8"/>
    <w:rsid w:val="5A725A5F"/>
    <w:rsid w:val="5A812DEA"/>
    <w:rsid w:val="5A8D5661"/>
    <w:rsid w:val="5AC41924"/>
    <w:rsid w:val="5AC8016B"/>
    <w:rsid w:val="5AD85EBF"/>
    <w:rsid w:val="5B3470DA"/>
    <w:rsid w:val="5B5669D6"/>
    <w:rsid w:val="5BA924BC"/>
    <w:rsid w:val="5BAA3522"/>
    <w:rsid w:val="5C042A8D"/>
    <w:rsid w:val="5C3259EE"/>
    <w:rsid w:val="5C3B151F"/>
    <w:rsid w:val="5C4900C4"/>
    <w:rsid w:val="5C8C341B"/>
    <w:rsid w:val="5CB42AE7"/>
    <w:rsid w:val="5CB67A7F"/>
    <w:rsid w:val="5CC0558A"/>
    <w:rsid w:val="5CD51979"/>
    <w:rsid w:val="5CF77E79"/>
    <w:rsid w:val="5D062391"/>
    <w:rsid w:val="5D331F4C"/>
    <w:rsid w:val="5D597EB7"/>
    <w:rsid w:val="5E083635"/>
    <w:rsid w:val="5E4907E6"/>
    <w:rsid w:val="5E9A74A0"/>
    <w:rsid w:val="5EA204ED"/>
    <w:rsid w:val="5ED655A5"/>
    <w:rsid w:val="5EE45C5B"/>
    <w:rsid w:val="5F49604B"/>
    <w:rsid w:val="5F5D62E7"/>
    <w:rsid w:val="5F723C49"/>
    <w:rsid w:val="5FD4310E"/>
    <w:rsid w:val="600B4656"/>
    <w:rsid w:val="6040150D"/>
    <w:rsid w:val="60455C7E"/>
    <w:rsid w:val="605E0DAD"/>
    <w:rsid w:val="6066433D"/>
    <w:rsid w:val="60705110"/>
    <w:rsid w:val="607720E9"/>
    <w:rsid w:val="607A026D"/>
    <w:rsid w:val="60A554B3"/>
    <w:rsid w:val="60BD3BA3"/>
    <w:rsid w:val="610C4FB2"/>
    <w:rsid w:val="615370FF"/>
    <w:rsid w:val="61583846"/>
    <w:rsid w:val="61C91196"/>
    <w:rsid w:val="61F909CE"/>
    <w:rsid w:val="620A3F82"/>
    <w:rsid w:val="62135E9B"/>
    <w:rsid w:val="62214605"/>
    <w:rsid w:val="623303BA"/>
    <w:rsid w:val="62340817"/>
    <w:rsid w:val="6240635C"/>
    <w:rsid w:val="624F6BEA"/>
    <w:rsid w:val="6283266F"/>
    <w:rsid w:val="62B84FD9"/>
    <w:rsid w:val="62D12C3D"/>
    <w:rsid w:val="631F2373"/>
    <w:rsid w:val="63442EFE"/>
    <w:rsid w:val="634C2C92"/>
    <w:rsid w:val="63844104"/>
    <w:rsid w:val="63A8296E"/>
    <w:rsid w:val="63C94F54"/>
    <w:rsid w:val="64233F57"/>
    <w:rsid w:val="64594BBB"/>
    <w:rsid w:val="645A1C84"/>
    <w:rsid w:val="645E4D6C"/>
    <w:rsid w:val="6488406B"/>
    <w:rsid w:val="64AB79E5"/>
    <w:rsid w:val="64B259E8"/>
    <w:rsid w:val="64D353BF"/>
    <w:rsid w:val="6502647F"/>
    <w:rsid w:val="652341F0"/>
    <w:rsid w:val="65293507"/>
    <w:rsid w:val="65307C34"/>
    <w:rsid w:val="653802FE"/>
    <w:rsid w:val="654D1161"/>
    <w:rsid w:val="65742B7C"/>
    <w:rsid w:val="65A80F15"/>
    <w:rsid w:val="65A96DEB"/>
    <w:rsid w:val="65D60872"/>
    <w:rsid w:val="65E27FB4"/>
    <w:rsid w:val="6601141B"/>
    <w:rsid w:val="662F075A"/>
    <w:rsid w:val="665436C7"/>
    <w:rsid w:val="6681231C"/>
    <w:rsid w:val="670F3085"/>
    <w:rsid w:val="672C679C"/>
    <w:rsid w:val="6730650C"/>
    <w:rsid w:val="6750416C"/>
    <w:rsid w:val="68212B7B"/>
    <w:rsid w:val="684D7D9C"/>
    <w:rsid w:val="68607599"/>
    <w:rsid w:val="68617509"/>
    <w:rsid w:val="687A1611"/>
    <w:rsid w:val="69105353"/>
    <w:rsid w:val="69375785"/>
    <w:rsid w:val="694A2AA5"/>
    <w:rsid w:val="695F56EE"/>
    <w:rsid w:val="69C1258B"/>
    <w:rsid w:val="69DD167B"/>
    <w:rsid w:val="69DF2212"/>
    <w:rsid w:val="6A370475"/>
    <w:rsid w:val="6A557EBA"/>
    <w:rsid w:val="6A615EE7"/>
    <w:rsid w:val="6AB5426E"/>
    <w:rsid w:val="6AD15F01"/>
    <w:rsid w:val="6B507286"/>
    <w:rsid w:val="6B735901"/>
    <w:rsid w:val="6B9A4C11"/>
    <w:rsid w:val="6BAD75CC"/>
    <w:rsid w:val="6C021214"/>
    <w:rsid w:val="6C1113D1"/>
    <w:rsid w:val="6C1F0694"/>
    <w:rsid w:val="6C672733"/>
    <w:rsid w:val="6C785D88"/>
    <w:rsid w:val="6CC271F3"/>
    <w:rsid w:val="6CCE4455"/>
    <w:rsid w:val="6CCF691E"/>
    <w:rsid w:val="6D08089B"/>
    <w:rsid w:val="6D3A3FBC"/>
    <w:rsid w:val="6D47746A"/>
    <w:rsid w:val="6D8D3F5C"/>
    <w:rsid w:val="6DFB7E79"/>
    <w:rsid w:val="6E06181C"/>
    <w:rsid w:val="6E0D7FE4"/>
    <w:rsid w:val="6E1B2921"/>
    <w:rsid w:val="6E645780"/>
    <w:rsid w:val="6EAC191A"/>
    <w:rsid w:val="6F1A6FFF"/>
    <w:rsid w:val="6FB1348D"/>
    <w:rsid w:val="6FBD4CDE"/>
    <w:rsid w:val="6FC7059A"/>
    <w:rsid w:val="6FD6055A"/>
    <w:rsid w:val="702411E1"/>
    <w:rsid w:val="70466444"/>
    <w:rsid w:val="70564A79"/>
    <w:rsid w:val="70B55AF5"/>
    <w:rsid w:val="70B84386"/>
    <w:rsid w:val="70F078F8"/>
    <w:rsid w:val="70F7175E"/>
    <w:rsid w:val="71005898"/>
    <w:rsid w:val="71012B16"/>
    <w:rsid w:val="71176909"/>
    <w:rsid w:val="712C339D"/>
    <w:rsid w:val="71364A63"/>
    <w:rsid w:val="713C646D"/>
    <w:rsid w:val="71807872"/>
    <w:rsid w:val="71C035E4"/>
    <w:rsid w:val="71F373BC"/>
    <w:rsid w:val="72062E95"/>
    <w:rsid w:val="72586F54"/>
    <w:rsid w:val="726A7CC7"/>
    <w:rsid w:val="726E45A6"/>
    <w:rsid w:val="729D32AA"/>
    <w:rsid w:val="72EF2C13"/>
    <w:rsid w:val="7318268D"/>
    <w:rsid w:val="7331658E"/>
    <w:rsid w:val="73ED09E8"/>
    <w:rsid w:val="73FB4803"/>
    <w:rsid w:val="740E5829"/>
    <w:rsid w:val="740F5AC1"/>
    <w:rsid w:val="741C332E"/>
    <w:rsid w:val="743B7AC2"/>
    <w:rsid w:val="74703282"/>
    <w:rsid w:val="74B52DC4"/>
    <w:rsid w:val="74EA168A"/>
    <w:rsid w:val="75703A9C"/>
    <w:rsid w:val="75FE1A6E"/>
    <w:rsid w:val="760C70BC"/>
    <w:rsid w:val="769F4F5A"/>
    <w:rsid w:val="76AF41E6"/>
    <w:rsid w:val="76E43105"/>
    <w:rsid w:val="7708481E"/>
    <w:rsid w:val="770F531C"/>
    <w:rsid w:val="773F38CD"/>
    <w:rsid w:val="779427CE"/>
    <w:rsid w:val="77EF3B47"/>
    <w:rsid w:val="77F453E9"/>
    <w:rsid w:val="78973B82"/>
    <w:rsid w:val="789F26BF"/>
    <w:rsid w:val="78BC253A"/>
    <w:rsid w:val="78CF1DDC"/>
    <w:rsid w:val="78D2453A"/>
    <w:rsid w:val="78FF7A1B"/>
    <w:rsid w:val="790D384E"/>
    <w:rsid w:val="79E11E15"/>
    <w:rsid w:val="7A0348D0"/>
    <w:rsid w:val="7A0D5EC0"/>
    <w:rsid w:val="7A373D73"/>
    <w:rsid w:val="7A6A041E"/>
    <w:rsid w:val="7A97342B"/>
    <w:rsid w:val="7ACE1D25"/>
    <w:rsid w:val="7B2A3E05"/>
    <w:rsid w:val="7B374C0F"/>
    <w:rsid w:val="7B4676A7"/>
    <w:rsid w:val="7B4D792A"/>
    <w:rsid w:val="7BBD5B33"/>
    <w:rsid w:val="7BC16990"/>
    <w:rsid w:val="7C5D6A6A"/>
    <w:rsid w:val="7C6E4785"/>
    <w:rsid w:val="7C7F2B11"/>
    <w:rsid w:val="7C901FFE"/>
    <w:rsid w:val="7CB1685A"/>
    <w:rsid w:val="7CDC3977"/>
    <w:rsid w:val="7CE816F1"/>
    <w:rsid w:val="7D7C3287"/>
    <w:rsid w:val="7D8203E2"/>
    <w:rsid w:val="7D84585C"/>
    <w:rsid w:val="7DC178D1"/>
    <w:rsid w:val="7DF033D3"/>
    <w:rsid w:val="7E1224C7"/>
    <w:rsid w:val="7E13044C"/>
    <w:rsid w:val="7E497D5A"/>
    <w:rsid w:val="7EA513A4"/>
    <w:rsid w:val="7EB845D5"/>
    <w:rsid w:val="7F0326C5"/>
    <w:rsid w:val="7F053DC3"/>
    <w:rsid w:val="7F0B0939"/>
    <w:rsid w:val="7F1F16D4"/>
    <w:rsid w:val="7F986441"/>
    <w:rsid w:val="7FA8310D"/>
    <w:rsid w:val="7FC04307"/>
    <w:rsid w:val="7FE945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微软雅黑" w:eastAsia="等线" w:cs="Times New Roman"/>
      <w:kern w:val="2"/>
      <w:sz w:val="21"/>
      <w:szCs w:val="22"/>
      <w:lang w:val="en-US" w:eastAsia="zh-CN" w:bidi="ar-SA"/>
    </w:rPr>
  </w:style>
  <w:style w:type="paragraph" w:styleId="2">
    <w:name w:val="heading 1"/>
    <w:basedOn w:val="1"/>
    <w:next w:val="1"/>
    <w:link w:val="5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8"/>
    <w:unhideWhenUsed/>
    <w:qFormat/>
    <w:uiPriority w:val="9"/>
    <w:pPr>
      <w:autoSpaceDE w:val="0"/>
      <w:autoSpaceDN w:val="0"/>
      <w:spacing w:before="37"/>
      <w:ind w:left="973" w:hanging="434"/>
      <w:jc w:val="left"/>
      <w:outlineLvl w:val="1"/>
    </w:pPr>
    <w:rPr>
      <w:rFonts w:cs="微软雅黑"/>
      <w:b/>
      <w:bCs/>
      <w:kern w:val="0"/>
      <w:sz w:val="24"/>
      <w:szCs w:val="24"/>
    </w:rPr>
  </w:style>
  <w:style w:type="paragraph" w:styleId="4">
    <w:name w:val="heading 3"/>
    <w:basedOn w:val="1"/>
    <w:next w:val="1"/>
    <w:link w:val="72"/>
    <w:semiHidden/>
    <w:unhideWhenUsed/>
    <w:qFormat/>
    <w:uiPriority w:val="9"/>
    <w:pPr>
      <w:keepNext/>
      <w:keepLines/>
      <w:spacing w:before="260" w:after="260" w:line="416" w:lineRule="auto"/>
      <w:outlineLvl w:val="2"/>
    </w:pPr>
    <w:rPr>
      <w:b/>
      <w:bCs/>
      <w:sz w:val="32"/>
      <w:szCs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1260"/>
      <w:jc w:val="left"/>
    </w:pPr>
    <w:rPr>
      <w:rFonts w:asciiTheme="minorHAnsi" w:eastAsiaTheme="minorHAnsi"/>
      <w:sz w:val="20"/>
      <w:szCs w:val="20"/>
    </w:rPr>
  </w:style>
  <w:style w:type="paragraph" w:styleId="6">
    <w:name w:val="annotation text"/>
    <w:basedOn w:val="1"/>
    <w:link w:val="39"/>
    <w:semiHidden/>
    <w:unhideWhenUsed/>
    <w:qFormat/>
    <w:uiPriority w:val="99"/>
    <w:pPr>
      <w:jc w:val="left"/>
    </w:pPr>
  </w:style>
  <w:style w:type="paragraph" w:styleId="7">
    <w:name w:val="toc 5"/>
    <w:basedOn w:val="1"/>
    <w:next w:val="1"/>
    <w:unhideWhenUsed/>
    <w:qFormat/>
    <w:uiPriority w:val="39"/>
    <w:pPr>
      <w:ind w:left="840"/>
      <w:jc w:val="left"/>
    </w:pPr>
    <w:rPr>
      <w:rFonts w:asciiTheme="minorHAnsi" w:eastAsiaTheme="minorHAnsi"/>
      <w:sz w:val="20"/>
      <w:szCs w:val="20"/>
    </w:rPr>
  </w:style>
  <w:style w:type="paragraph" w:styleId="8">
    <w:name w:val="toc 3"/>
    <w:basedOn w:val="1"/>
    <w:next w:val="1"/>
    <w:unhideWhenUsed/>
    <w:qFormat/>
    <w:uiPriority w:val="39"/>
    <w:pPr>
      <w:ind w:left="420"/>
      <w:jc w:val="left"/>
    </w:pPr>
    <w:rPr>
      <w:rFonts w:asciiTheme="minorHAnsi" w:eastAsiaTheme="minorHAnsi"/>
      <w:sz w:val="20"/>
      <w:szCs w:val="20"/>
    </w:rPr>
  </w:style>
  <w:style w:type="paragraph" w:styleId="9">
    <w:name w:val="toc 8"/>
    <w:basedOn w:val="1"/>
    <w:next w:val="1"/>
    <w:unhideWhenUsed/>
    <w:qFormat/>
    <w:uiPriority w:val="39"/>
    <w:pPr>
      <w:ind w:left="1470"/>
      <w:jc w:val="left"/>
    </w:pPr>
    <w:rPr>
      <w:rFonts w:asciiTheme="minorHAnsi" w:eastAsiaTheme="minorHAnsi"/>
      <w:sz w:val="20"/>
      <w:szCs w:val="20"/>
    </w:rPr>
  </w:style>
  <w:style w:type="paragraph" w:styleId="10">
    <w:name w:val="Balloon Text"/>
    <w:basedOn w:val="1"/>
    <w:link w:val="36"/>
    <w:semiHidden/>
    <w:unhideWhenUsed/>
    <w:qFormat/>
    <w:uiPriority w:val="99"/>
    <w:rPr>
      <w:sz w:val="18"/>
      <w:szCs w:val="18"/>
    </w:rPr>
  </w:style>
  <w:style w:type="paragraph" w:styleId="11">
    <w:name w:val="footer"/>
    <w:basedOn w:val="1"/>
    <w:link w:val="33"/>
    <w:unhideWhenUsed/>
    <w:qFormat/>
    <w:uiPriority w:val="99"/>
    <w:pPr>
      <w:tabs>
        <w:tab w:val="center" w:pos="4153"/>
        <w:tab w:val="right" w:pos="8306"/>
      </w:tabs>
      <w:snapToGrid w:val="0"/>
      <w:jc w:val="left"/>
    </w:pPr>
    <w:rPr>
      <w:sz w:val="18"/>
      <w:szCs w:val="18"/>
    </w:rPr>
  </w:style>
  <w:style w:type="paragraph" w:styleId="12">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spacing w:before="120"/>
      <w:jc w:val="left"/>
    </w:pPr>
    <w:rPr>
      <w:rFonts w:asciiTheme="minorHAnsi" w:eastAsiaTheme="minorHAnsi"/>
      <w:b/>
      <w:bCs/>
      <w:i/>
      <w:iCs/>
      <w:sz w:val="24"/>
      <w:szCs w:val="24"/>
    </w:rPr>
  </w:style>
  <w:style w:type="paragraph" w:styleId="14">
    <w:name w:val="toc 4"/>
    <w:basedOn w:val="1"/>
    <w:next w:val="1"/>
    <w:unhideWhenUsed/>
    <w:qFormat/>
    <w:uiPriority w:val="39"/>
    <w:pPr>
      <w:ind w:left="630"/>
      <w:jc w:val="left"/>
    </w:pPr>
    <w:rPr>
      <w:rFonts w:asciiTheme="minorHAnsi" w:eastAsiaTheme="minorHAnsi"/>
      <w:sz w:val="20"/>
      <w:szCs w:val="20"/>
    </w:rPr>
  </w:style>
  <w:style w:type="paragraph" w:styleId="15">
    <w:name w:val="toc 6"/>
    <w:basedOn w:val="1"/>
    <w:next w:val="1"/>
    <w:unhideWhenUsed/>
    <w:qFormat/>
    <w:uiPriority w:val="39"/>
    <w:pPr>
      <w:ind w:left="1050"/>
      <w:jc w:val="left"/>
    </w:pPr>
    <w:rPr>
      <w:rFonts w:asciiTheme="minorHAnsi" w:eastAsiaTheme="minorHAnsi"/>
      <w:sz w:val="20"/>
      <w:szCs w:val="20"/>
    </w:rPr>
  </w:style>
  <w:style w:type="paragraph" w:styleId="16">
    <w:name w:val="toc 2"/>
    <w:basedOn w:val="1"/>
    <w:next w:val="1"/>
    <w:unhideWhenUsed/>
    <w:qFormat/>
    <w:uiPriority w:val="39"/>
    <w:pPr>
      <w:spacing w:before="120"/>
      <w:ind w:left="210"/>
      <w:jc w:val="left"/>
    </w:pPr>
    <w:rPr>
      <w:rFonts w:asciiTheme="minorHAnsi" w:eastAsiaTheme="minorHAnsi"/>
      <w:b/>
      <w:bCs/>
      <w:sz w:val="22"/>
    </w:rPr>
  </w:style>
  <w:style w:type="paragraph" w:styleId="17">
    <w:name w:val="toc 9"/>
    <w:basedOn w:val="1"/>
    <w:next w:val="1"/>
    <w:unhideWhenUsed/>
    <w:qFormat/>
    <w:uiPriority w:val="39"/>
    <w:pPr>
      <w:ind w:left="1680"/>
      <w:jc w:val="left"/>
    </w:pPr>
    <w:rPr>
      <w:rFonts w:asciiTheme="minorHAnsi" w:eastAsiaTheme="minorHAnsi"/>
      <w:sz w:val="20"/>
      <w:szCs w:val="20"/>
    </w:rPr>
  </w:style>
  <w:style w:type="paragraph" w:styleId="18">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19">
    <w:name w:val="annotation subject"/>
    <w:basedOn w:val="6"/>
    <w:next w:val="6"/>
    <w:link w:val="40"/>
    <w:semiHidden/>
    <w:unhideWhenUsed/>
    <w:qFormat/>
    <w:uiPriority w:val="99"/>
    <w:rPr>
      <w:b/>
      <w:bCs/>
    </w:rPr>
  </w:style>
  <w:style w:type="table" w:styleId="21">
    <w:name w:val="Table Grid"/>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22"/>
    <w:rPr>
      <w:b/>
    </w:rPr>
  </w:style>
  <w:style w:type="character" w:styleId="24">
    <w:name w:val="Emphasis"/>
    <w:basedOn w:val="22"/>
    <w:qFormat/>
    <w:uiPriority w:val="20"/>
    <w:rPr>
      <w:i/>
    </w:rPr>
  </w:style>
  <w:style w:type="character" w:styleId="25">
    <w:name w:val="Hyperlink"/>
    <w:basedOn w:val="22"/>
    <w:unhideWhenUsed/>
    <w:qFormat/>
    <w:uiPriority w:val="99"/>
    <w:rPr>
      <w:color w:val="0563C1" w:themeColor="hyperlink"/>
      <w:u w:val="single"/>
      <w14:textFill>
        <w14:solidFill>
          <w14:schemeClr w14:val="hlink"/>
        </w14:solidFill>
      </w14:textFill>
    </w:rPr>
  </w:style>
  <w:style w:type="character" w:styleId="26">
    <w:name w:val="annotation reference"/>
    <w:basedOn w:val="22"/>
    <w:semiHidden/>
    <w:unhideWhenUsed/>
    <w:qFormat/>
    <w:uiPriority w:val="99"/>
    <w:rPr>
      <w:sz w:val="21"/>
      <w:szCs w:val="21"/>
    </w:rPr>
  </w:style>
  <w:style w:type="paragraph" w:customStyle="1" w:styleId="27">
    <w:name w:val="样式1"/>
    <w:basedOn w:val="1"/>
    <w:link w:val="29"/>
    <w:qFormat/>
    <w:uiPriority w:val="0"/>
    <w:rPr>
      <w:b/>
      <w:sz w:val="24"/>
    </w:rPr>
  </w:style>
  <w:style w:type="table" w:customStyle="1" w:styleId="28">
    <w:name w:val="网格表 3 - 着色 11"/>
    <w:basedOn w:val="20"/>
    <w:qFormat/>
    <w:uiPriority w:val="48"/>
    <w:tblPr>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9E2F3" w:themeFill="accent1" w:themeFillTint="33"/>
      </w:tcPr>
    </w:tblStylePr>
    <w:tblStylePr w:type="band1Horz">
      <w:tcPr>
        <w:shd w:val="clear" w:color="auto" w:fill="D9E2F3" w:themeFill="accent1" w:themeFillTint="33"/>
      </w:tcPr>
    </w:tblStylePr>
    <w:tblStylePr w:type="neCell">
      <w:tcPr>
        <w:tcBorders>
          <w:bottom w:val="single" w:color="8EAADB" w:themeColor="accent1" w:themeTint="99" w:sz="4" w:space="0"/>
        </w:tcBorders>
      </w:tcPr>
    </w:tblStylePr>
    <w:tblStylePr w:type="nwCell">
      <w:tcPr>
        <w:tcBorders>
          <w:bottom w:val="single" w:color="8EAADB" w:themeColor="accent1" w:themeTint="99" w:sz="4" w:space="0"/>
        </w:tcBorders>
      </w:tcPr>
    </w:tblStylePr>
    <w:tblStylePr w:type="seCell">
      <w:tcPr>
        <w:tcBorders>
          <w:top w:val="single" w:color="8EAADB" w:themeColor="accent1" w:themeTint="99" w:sz="4" w:space="0"/>
        </w:tcBorders>
      </w:tcPr>
    </w:tblStylePr>
    <w:tblStylePr w:type="swCell">
      <w:tcPr>
        <w:tcBorders>
          <w:top w:val="single" w:color="8EAADB" w:themeColor="accent1" w:themeTint="99" w:sz="4" w:space="0"/>
        </w:tcBorders>
      </w:tcPr>
    </w:tblStylePr>
  </w:style>
  <w:style w:type="character" w:customStyle="1" w:styleId="29">
    <w:name w:val="样式1 字符"/>
    <w:basedOn w:val="22"/>
    <w:link w:val="27"/>
    <w:qFormat/>
    <w:uiPriority w:val="0"/>
    <w:rPr>
      <w:rFonts w:ascii="微软雅黑" w:hAnsi="微软雅黑" w:eastAsia="微软雅黑"/>
      <w:b/>
      <w:sz w:val="24"/>
    </w:rPr>
  </w:style>
  <w:style w:type="table" w:customStyle="1" w:styleId="30">
    <w:name w:val="清单表 7 彩色 - 着色 21"/>
    <w:basedOn w:val="20"/>
    <w:qFormat/>
    <w:uiPriority w:val="52"/>
    <w:rPr>
      <w:color w:val="C55A11" w:themeColor="accent2" w:themeShade="BF"/>
    </w:rPr>
    <w:tblStylePr w:type="firstRow">
      <w:rPr>
        <w:rFonts w:asciiTheme="majorHAnsi" w:hAnsiTheme="majorHAnsi" w:eastAsiaTheme="majorEastAsia" w:cstheme="majorBidi"/>
        <w:i/>
        <w:iCs/>
        <w:sz w:val="26"/>
      </w:rPr>
      <w:tcPr>
        <w:tcBorders>
          <w:bottom w:val="single" w:color="ED7D31" w:themeColor="accent2"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D7D31"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D7D31" w:themeColor="accent2"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D7D31" w:themeColor="accent2" w:sz="4" w:space="0"/>
        </w:tcBorders>
        <w:shd w:val="clear" w:color="auto" w:fill="FFFFFF" w:themeFill="background1"/>
      </w:tcPr>
    </w:tblStylePr>
    <w:tblStylePr w:type="band1Vert">
      <w:tcPr>
        <w:shd w:val="clear" w:color="auto" w:fill="FBE4D5" w:themeFill="accent2" w:themeFillTint="33"/>
      </w:tcPr>
    </w:tblStylePr>
    <w:tblStylePr w:type="band1Horz">
      <w:tcPr>
        <w:shd w:val="clear" w:color="auto" w:fill="FBE4D5" w:themeFill="accent2"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1">
    <w:name w:val="网格表 2 - 着色 51"/>
    <w:basedOn w:val="20"/>
    <w:qFormat/>
    <w:uiPriority w:val="47"/>
    <w:tblPr>
      <w:tblBorders>
        <w:top w:val="single" w:color="9CC2E5" w:themeColor="accent5" w:themeTint="99" w:sz="2" w:space="0"/>
        <w:bottom w:val="single" w:color="9CC2E5" w:themeColor="accent5" w:themeTint="99" w:sz="2" w:space="0"/>
        <w:insideH w:val="single" w:color="9CC2E5" w:themeColor="accent5" w:themeTint="99" w:sz="2" w:space="0"/>
        <w:insideV w:val="single" w:color="9CC2E5" w:themeColor="accent5" w:themeTint="99" w:sz="2" w:space="0"/>
      </w:tblBorders>
    </w:tblPr>
    <w:tblStylePr w:type="firstRow">
      <w:rPr>
        <w:b/>
        <w:bCs/>
      </w:rPr>
      <w:tcPr>
        <w:tcBorders>
          <w:top w:val="nil"/>
          <w:bottom w:val="single" w:color="9CC2E5" w:themeColor="accent5" w:themeTint="99" w:sz="12" w:space="0"/>
          <w:insideH w:val="nil"/>
          <w:insideV w:val="nil"/>
        </w:tcBorders>
        <w:shd w:val="clear" w:color="auto" w:fill="FFFFFF" w:themeFill="background1"/>
      </w:tcPr>
    </w:tblStylePr>
    <w:tblStylePr w:type="lastRow">
      <w:rPr>
        <w:b/>
        <w:bCs/>
      </w:rPr>
      <w:tcPr>
        <w:tcBorders>
          <w:top w:val="double" w:color="9CC2E5"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character" w:customStyle="1" w:styleId="32">
    <w:name w:val="页眉 字符"/>
    <w:basedOn w:val="22"/>
    <w:link w:val="12"/>
    <w:qFormat/>
    <w:uiPriority w:val="99"/>
    <w:rPr>
      <w:sz w:val="18"/>
      <w:szCs w:val="18"/>
    </w:rPr>
  </w:style>
  <w:style w:type="character" w:customStyle="1" w:styleId="33">
    <w:name w:val="页脚 字符"/>
    <w:basedOn w:val="22"/>
    <w:link w:val="11"/>
    <w:qFormat/>
    <w:uiPriority w:val="99"/>
    <w:rPr>
      <w:sz w:val="18"/>
      <w:szCs w:val="18"/>
    </w:rPr>
  </w:style>
  <w:style w:type="table" w:customStyle="1" w:styleId="34">
    <w:name w:val="清单表 1 浅色 - 着色 51"/>
    <w:basedOn w:val="20"/>
    <w:qFormat/>
    <w:uiPriority w:val="46"/>
    <w:tblStylePr w:type="firstRow">
      <w:rPr>
        <w:b/>
        <w:bCs/>
      </w:rPr>
      <w:tcPr>
        <w:tcBorders>
          <w:bottom w:val="single" w:color="9CC2E5" w:themeColor="accent5" w:themeTint="99" w:sz="4" w:space="0"/>
        </w:tcBorders>
      </w:tcPr>
    </w:tblStylePr>
    <w:tblStylePr w:type="lastRow">
      <w:rPr>
        <w:b/>
        <w:bCs/>
      </w:rPr>
      <w:tcPr>
        <w:tcBorders>
          <w:top w:val="sing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35">
    <w:name w:val="无格式表格 11"/>
    <w:basedOn w:val="20"/>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character" w:customStyle="1" w:styleId="36">
    <w:name w:val="批注框文本 字符"/>
    <w:basedOn w:val="22"/>
    <w:link w:val="10"/>
    <w:semiHidden/>
    <w:qFormat/>
    <w:uiPriority w:val="99"/>
    <w:rPr>
      <w:sz w:val="18"/>
      <w:szCs w:val="18"/>
    </w:rPr>
  </w:style>
  <w:style w:type="character" w:customStyle="1" w:styleId="37">
    <w:name w:val="未处理的提及1"/>
    <w:basedOn w:val="22"/>
    <w:semiHidden/>
    <w:unhideWhenUsed/>
    <w:qFormat/>
    <w:uiPriority w:val="99"/>
    <w:rPr>
      <w:color w:val="808080"/>
      <w:shd w:val="clear" w:color="auto" w:fill="E6E6E6"/>
    </w:rPr>
  </w:style>
  <w:style w:type="paragraph" w:styleId="38">
    <w:name w:val="List Paragraph"/>
    <w:basedOn w:val="1"/>
    <w:qFormat/>
    <w:uiPriority w:val="34"/>
    <w:pPr>
      <w:ind w:firstLine="420" w:firstLineChars="200"/>
    </w:pPr>
  </w:style>
  <w:style w:type="character" w:customStyle="1" w:styleId="39">
    <w:name w:val="批注文字 字符"/>
    <w:basedOn w:val="22"/>
    <w:link w:val="6"/>
    <w:semiHidden/>
    <w:qFormat/>
    <w:uiPriority w:val="99"/>
  </w:style>
  <w:style w:type="character" w:customStyle="1" w:styleId="40">
    <w:name w:val="批注主题 字符"/>
    <w:basedOn w:val="39"/>
    <w:link w:val="19"/>
    <w:semiHidden/>
    <w:qFormat/>
    <w:uiPriority w:val="99"/>
    <w:rPr>
      <w:b/>
      <w:bCs/>
    </w:rPr>
  </w:style>
  <w:style w:type="table" w:customStyle="1" w:styleId="41">
    <w:name w:val="网格型1"/>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2">
    <w:name w:val="网格型2"/>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3">
    <w:name w:val="网格型3"/>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4">
    <w:name w:val="网格型4"/>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5">
    <w:name w:val="Table Normal1"/>
    <w:basedOn w:val="20"/>
    <w:qFormat/>
    <w:uiPriority w:val="0"/>
    <w:rPr>
      <w:rFonts w:eastAsia="Times New Roman"/>
    </w:rPr>
    <w:tblPr>
      <w:tblCellMar>
        <w:left w:w="0" w:type="dxa"/>
        <w:right w:w="0" w:type="dxa"/>
      </w:tblCellMar>
    </w:tblPr>
  </w:style>
  <w:style w:type="paragraph" w:customStyle="1" w:styleId="46">
    <w:name w:val="Table Paragraph"/>
    <w:basedOn w:val="1"/>
    <w:qFormat/>
    <w:uiPriority w:val="1"/>
    <w:pPr>
      <w:autoSpaceDE w:val="0"/>
      <w:autoSpaceDN w:val="0"/>
      <w:jc w:val="left"/>
    </w:pPr>
    <w:rPr>
      <w:rFonts w:cs="微软雅黑"/>
      <w:kern w:val="0"/>
      <w:sz w:val="22"/>
    </w:rPr>
  </w:style>
  <w:style w:type="table" w:customStyle="1" w:styleId="47">
    <w:name w:val="Table Normal"/>
    <w:semiHidden/>
    <w:unhideWhenUsed/>
    <w:qFormat/>
    <w:uiPriority w:val="2"/>
    <w:pPr>
      <w:widowControl w:val="0"/>
      <w:autoSpaceDE w:val="0"/>
      <w:autoSpaceDN w:val="0"/>
    </w:pPr>
    <w:rPr>
      <w:rFonts w:asciiTheme="minorHAnsi" w:hAnsiTheme="minorHAnsi" w:eastAsiaTheme="minorEastAsia" w:cstheme="minorBidi"/>
      <w:sz w:val="22"/>
      <w:lang w:eastAsia="en-US"/>
    </w:rPr>
    <w:tblPr>
      <w:tblCellMar>
        <w:top w:w="0" w:type="dxa"/>
        <w:left w:w="0" w:type="dxa"/>
        <w:bottom w:w="0" w:type="dxa"/>
        <w:right w:w="0" w:type="dxa"/>
      </w:tblCellMar>
    </w:tblPr>
  </w:style>
  <w:style w:type="character" w:customStyle="1" w:styleId="48">
    <w:name w:val="标题 2 字符"/>
    <w:basedOn w:val="22"/>
    <w:link w:val="3"/>
    <w:qFormat/>
    <w:uiPriority w:val="9"/>
    <w:rPr>
      <w:rFonts w:ascii="微软雅黑" w:hAnsi="微软雅黑" w:eastAsia="微软雅黑" w:cs="微软雅黑"/>
      <w:b/>
      <w:bCs/>
      <w:kern w:val="0"/>
      <w:sz w:val="24"/>
      <w:szCs w:val="24"/>
    </w:rPr>
  </w:style>
  <w:style w:type="character" w:customStyle="1" w:styleId="49">
    <w:name w:val="fontstyle01"/>
    <w:basedOn w:val="22"/>
    <w:qFormat/>
    <w:uiPriority w:val="0"/>
    <w:rPr>
      <w:rFonts w:hint="eastAsia" w:ascii="微软雅黑" w:hAnsi="微软雅黑" w:eastAsia="微软雅黑"/>
      <w:color w:val="000000"/>
      <w:sz w:val="18"/>
      <w:szCs w:val="18"/>
    </w:rPr>
  </w:style>
  <w:style w:type="table" w:customStyle="1" w:styleId="50">
    <w:name w:val="网格型5"/>
    <w:basedOn w:val="2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1">
    <w:name w:val="标题 1 字符"/>
    <w:basedOn w:val="22"/>
    <w:link w:val="2"/>
    <w:qFormat/>
    <w:uiPriority w:val="9"/>
    <w:rPr>
      <w:b/>
      <w:bCs/>
      <w:kern w:val="44"/>
      <w:sz w:val="44"/>
      <w:szCs w:val="44"/>
    </w:rPr>
  </w:style>
  <w:style w:type="paragraph" w:customStyle="1" w:styleId="52">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53">
    <w:name w:val="表格"/>
    <w:basedOn w:val="1"/>
    <w:qFormat/>
    <w:uiPriority w:val="0"/>
    <w:pPr>
      <w:jc w:val="center"/>
    </w:pPr>
    <w:rPr>
      <w:bCs/>
      <w:sz w:val="18"/>
      <w:szCs w:val="18"/>
    </w:rPr>
  </w:style>
  <w:style w:type="paragraph" w:customStyle="1" w:styleId="54">
    <w:name w:val="列出段落11"/>
    <w:basedOn w:val="1"/>
    <w:qFormat/>
    <w:uiPriority w:val="1"/>
    <w:pPr>
      <w:spacing w:line="400" w:lineRule="exact"/>
    </w:pPr>
    <w:rPr>
      <w:rFonts w:ascii="Times New Roman" w:hAnsi="Times New Roman" w:eastAsia="微软雅黑" w:cs="微软雅黑"/>
      <w:sz w:val="20"/>
      <w:szCs w:val="20"/>
    </w:rPr>
  </w:style>
  <w:style w:type="table" w:customStyle="1" w:styleId="55">
    <w:name w:val="mutation result3"/>
    <w:basedOn w:val="20"/>
    <w:qFormat/>
    <w:uiPriority w:val="6"/>
    <w:pPr>
      <w:widowControl w:val="0"/>
      <w:jc w:val="center"/>
    </w:pPr>
    <w:rPr>
      <w:rFonts w:ascii="Cambria" w:hAnsi="宋体" w:cs="Cambria"/>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Pr>
    <w:tcPr>
      <w:vAlign w:val="center"/>
    </w:tcPr>
    <w:tblStylePr w:type="firstRow">
      <w:rPr>
        <w:b/>
        <w:bCs/>
        <w:sz w:val="21"/>
        <w:szCs w:val="21"/>
      </w:rPr>
      <w:tcPr>
        <w:shd w:val="clear" w:color="auto" w:fill="D0D0CE"/>
      </w:tcPr>
    </w:tblStylePr>
    <w:tblStylePr w:type="firstCol">
      <w:rPr>
        <w:b/>
        <w:bCs/>
      </w:rPr>
    </w:tblStylePr>
  </w:style>
  <w:style w:type="character" w:customStyle="1" w:styleId="56">
    <w:name w:val="未处理的提及2"/>
    <w:basedOn w:val="22"/>
    <w:semiHidden/>
    <w:unhideWhenUsed/>
    <w:qFormat/>
    <w:uiPriority w:val="99"/>
    <w:rPr>
      <w:color w:val="605E5C"/>
      <w:shd w:val="clear" w:color="auto" w:fill="E1DFDD"/>
    </w:rPr>
  </w:style>
  <w:style w:type="paragraph" w:customStyle="1" w:styleId="57">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table" w:customStyle="1" w:styleId="58">
    <w:name w:val="网格表 4 - 着色 51"/>
    <w:basedOn w:val="20"/>
    <w:qFormat/>
    <w:uiPriority w:val="49"/>
    <w:tblP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
    <w:tcPr>
      <w:shd w:val="clear" w:color="auto" w:fill="F1F1F1" w:themeFill="background1" w:themeFillShade="F2"/>
    </w:tc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insideV w:val="nil"/>
        </w:tcBorders>
        <w:shd w:val="clear" w:color="auto" w:fill="5B9BD5" w:themeFill="accent5"/>
      </w:tcPr>
    </w:tblStylePr>
    <w:tblStylePr w:type="lastRow">
      <w:rPr>
        <w:b/>
        <w:bCs/>
      </w:rPr>
      <w:tcPr>
        <w:tcBorders>
          <w:top w:val="double" w:color="5B9BD5" w:themeColor="accent5"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59">
    <w:name w:val="清单表 3 - 着色 5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60">
    <w:name w:val="清单表 6 彩色 - 着色 31"/>
    <w:basedOn w:val="20"/>
    <w:qFormat/>
    <w:uiPriority w:val="51"/>
    <w:rPr>
      <w:color w:val="7C7C7C" w:themeColor="accent3" w:themeShade="BF"/>
    </w:rPr>
    <w:tblPr>
      <w:tblBorders>
        <w:top w:val="single" w:color="A5A5A5" w:themeColor="accent3" w:sz="4" w:space="0"/>
        <w:bottom w:val="single" w:color="A5A5A5" w:themeColor="accent3" w:sz="4" w:space="0"/>
      </w:tblBorders>
    </w:tblPr>
    <w:tblStylePr w:type="firstRow">
      <w:rPr>
        <w:b/>
        <w:bCs/>
      </w:rPr>
      <w:tcPr>
        <w:tcBorders>
          <w:bottom w:val="single" w:color="A5A5A5" w:themeColor="accent3" w:sz="4" w:space="0"/>
        </w:tcBorders>
      </w:tcPr>
    </w:tblStylePr>
    <w:tblStylePr w:type="lastRow">
      <w:rPr>
        <w:b/>
        <w:bCs/>
      </w:rPr>
      <w:tcPr>
        <w:tcBorders>
          <w:top w:val="double" w:color="A5A5A5" w:themeColor="accent3"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61">
    <w:name w:val="清单表 1 浅色 - 着色 31"/>
    <w:basedOn w:val="20"/>
    <w:qFormat/>
    <w:uiPriority w:val="46"/>
    <w:tblStylePr w:type="firstRow">
      <w:rPr>
        <w:b/>
        <w:bCs/>
      </w:rPr>
      <w:tcPr>
        <w:tcBorders>
          <w:bottom w:val="single" w:color="C8C8C8" w:themeColor="accent3" w:themeTint="99" w:sz="4" w:space="0"/>
        </w:tcBorders>
      </w:tcPr>
    </w:tblStylePr>
    <w:tblStylePr w:type="lastRow">
      <w:rPr>
        <w:b/>
        <w:bCs/>
      </w:rPr>
      <w:tcPr>
        <w:tcBorders>
          <w:top w:val="single" w:color="C8C8C8" w:themeColor="accent3" w:themeTint="99"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62">
    <w:name w:val="清单表 6 彩色 - 着色 61"/>
    <w:basedOn w:val="20"/>
    <w:qFormat/>
    <w:uiPriority w:val="51"/>
    <w:rPr>
      <w:color w:val="548235" w:themeColor="accent6" w:themeShade="BF"/>
    </w:rPr>
    <w:tblPr>
      <w:tblBorders>
        <w:top w:val="single" w:color="70AD47" w:themeColor="accent6" w:sz="4" w:space="0"/>
        <w:bottom w:val="single" w:color="70AD47" w:themeColor="accent6" w:sz="4" w:space="0"/>
      </w:tblBorders>
    </w:tblPr>
    <w:tblStylePr w:type="firstRow">
      <w:rPr>
        <w:b/>
        <w:bCs/>
      </w:rPr>
      <w:tcPr>
        <w:tcBorders>
          <w:bottom w:val="single" w:color="70AD47" w:themeColor="accent6" w:sz="4" w:space="0"/>
        </w:tcBorders>
      </w:tcPr>
    </w:tblStylePr>
    <w:tblStylePr w:type="lastRow">
      <w:rPr>
        <w:b/>
        <w:bCs/>
      </w:rPr>
      <w:tcPr>
        <w:tcBorders>
          <w:top w:val="double" w:color="70AD47" w:themeColor="accent6"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63">
    <w:name w:val="网格表 3 - 着色 61"/>
    <w:basedOn w:val="20"/>
    <w:qFormat/>
    <w:uiPriority w:val="48"/>
    <w:tblPr>
      <w:tblBorders>
        <w:insideH w:val="single" w:color="E7E6E6" w:themeColor="background2" w:sz="4" w:space="0"/>
        <w:insideV w:val="single" w:color="E7E6E6" w:themeColor="background2"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2EFD9" w:themeFill="accent6" w:themeFillTint="33"/>
      </w:tcPr>
    </w:tblStylePr>
    <w:tblStylePr w:type="band1Horz">
      <w:tcPr>
        <w:shd w:val="clear" w:color="auto" w:fill="E2EFD9" w:themeFill="accent6" w:themeFillTint="33"/>
      </w:tcPr>
    </w:tblStylePr>
    <w:tblStylePr w:type="neCell">
      <w:tcPr>
        <w:tcBorders>
          <w:bottom w:val="single" w:color="A8D08D" w:themeColor="accent6" w:themeTint="99" w:sz="4" w:space="0"/>
        </w:tcBorders>
      </w:tcPr>
    </w:tblStylePr>
    <w:tblStylePr w:type="nwCell">
      <w:tcPr>
        <w:tcBorders>
          <w:bottom w:val="single" w:color="A8D08D" w:themeColor="accent6" w:themeTint="99" w:sz="4" w:space="0"/>
        </w:tcBorders>
      </w:tcPr>
    </w:tblStylePr>
    <w:tblStylePr w:type="seCell">
      <w:tcPr>
        <w:tcBorders>
          <w:top w:val="single" w:color="A8D08D" w:themeColor="accent6" w:themeTint="99" w:sz="4" w:space="0"/>
        </w:tcBorders>
      </w:tcPr>
    </w:tblStylePr>
    <w:tblStylePr w:type="swCell">
      <w:tcPr>
        <w:tcBorders>
          <w:top w:val="single" w:color="A8D08D" w:themeColor="accent6" w:themeTint="99" w:sz="4" w:space="0"/>
        </w:tcBorders>
      </w:tcPr>
    </w:tblStylePr>
  </w:style>
  <w:style w:type="table" w:customStyle="1" w:styleId="64">
    <w:name w:val="网格表 1 浅色 - 着色 61"/>
    <w:basedOn w:val="20"/>
    <w:qFormat/>
    <w:uiPriority w:val="46"/>
    <w:tblPr>
      <w:tblBorders>
        <w:top w:val="single" w:color="C5E0B3" w:themeColor="accent6" w:themeTint="66" w:sz="4" w:space="0"/>
        <w:left w:val="single" w:color="C5E0B3" w:themeColor="accent6" w:themeTint="66" w:sz="4" w:space="0"/>
        <w:bottom w:val="single" w:color="C5E0B3" w:themeColor="accent6" w:themeTint="66" w:sz="4" w:space="0"/>
        <w:right w:val="single" w:color="C5E0B3" w:themeColor="accent6" w:themeTint="66" w:sz="4" w:space="0"/>
        <w:insideH w:val="single" w:color="C5E0B3" w:themeColor="accent6" w:themeTint="66" w:sz="4" w:space="0"/>
        <w:insideV w:val="single" w:color="C5E0B3" w:themeColor="accent6" w:themeTint="66" w:sz="4" w:space="0"/>
      </w:tblBorders>
    </w:tblPr>
    <w:tblStylePr w:type="firstRow">
      <w:rPr>
        <w:b/>
        <w:bCs/>
      </w:rPr>
      <w:tcPr>
        <w:tcBorders>
          <w:bottom w:val="single" w:color="A8D08D" w:themeColor="accent6" w:themeTint="99" w:sz="12" w:space="0"/>
        </w:tcBorders>
      </w:tcPr>
    </w:tblStylePr>
    <w:tblStylePr w:type="lastRow">
      <w:rPr>
        <w:b/>
        <w:bCs/>
      </w:rPr>
      <w:tcPr>
        <w:tcBorders>
          <w:top w:val="double" w:color="A8D08D" w:themeColor="accent6" w:themeTint="99" w:sz="2" w:space="0"/>
        </w:tcBorders>
      </w:tcPr>
    </w:tblStylePr>
    <w:tblStylePr w:type="firstCol">
      <w:rPr>
        <w:b/>
        <w:bCs/>
      </w:rPr>
    </w:tblStylePr>
    <w:tblStylePr w:type="lastCol">
      <w:rPr>
        <w:b/>
        <w:bCs/>
      </w:rPr>
    </w:tblStylePr>
  </w:style>
  <w:style w:type="table" w:customStyle="1" w:styleId="65">
    <w:name w:val="清单表 4 - 着色 51"/>
    <w:basedOn w:val="20"/>
    <w:qFormat/>
    <w:uiPriority w:val="49"/>
    <w:tblPr>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tblBorders>
    </w:tbl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tcBorders>
        <w:shd w:val="clear" w:color="auto" w:fill="5B9BD5" w:themeFill="accent5"/>
      </w:tcPr>
    </w:tblStylePr>
    <w:tblStylePr w:type="lastRow">
      <w:rPr>
        <w:b/>
        <w:bCs/>
      </w:rPr>
      <w:tcPr>
        <w:tcBorders>
          <w:top w:val="doub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66">
    <w:name w:val="清单表 3 - 着色 52"/>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67">
    <w:name w:val="清单表 3 - 着色 53"/>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character" w:customStyle="1" w:styleId="68">
    <w:name w:val="fontstyle11"/>
    <w:basedOn w:val="22"/>
    <w:qFormat/>
    <w:uiPriority w:val="0"/>
    <w:rPr>
      <w:rFonts w:ascii="NEU-BZ-Regular" w:hAnsi="NEU-BZ-Regular" w:eastAsia="NEU-BZ-Regular" w:cs="NEU-BZ-Regular"/>
      <w:color w:val="242021"/>
      <w:sz w:val="22"/>
      <w:szCs w:val="22"/>
    </w:rPr>
  </w:style>
  <w:style w:type="character" w:customStyle="1" w:styleId="69">
    <w:name w:val="fontstyle21"/>
    <w:basedOn w:val="22"/>
    <w:qFormat/>
    <w:uiPriority w:val="0"/>
    <w:rPr>
      <w:rFonts w:ascii="FZSSK--GBK1-0" w:hAnsi="FZSSK--GBK1-0" w:eastAsia="FZSSK--GBK1-0" w:cs="FZSSK--GBK1-0"/>
      <w:color w:val="242021"/>
      <w:sz w:val="22"/>
      <w:szCs w:val="22"/>
    </w:rPr>
  </w:style>
  <w:style w:type="character" w:customStyle="1" w:styleId="70">
    <w:name w:val="fontstyle31"/>
    <w:basedOn w:val="22"/>
    <w:qFormat/>
    <w:uiPriority w:val="0"/>
    <w:rPr>
      <w:rFonts w:ascii="NEU-BZ-Italic" w:hAnsi="NEU-BZ-Italic" w:eastAsia="NEU-BZ-Italic" w:cs="NEU-BZ-Italic"/>
      <w:i/>
      <w:color w:val="242021"/>
      <w:sz w:val="22"/>
      <w:szCs w:val="22"/>
    </w:rPr>
  </w:style>
  <w:style w:type="paragraph" w:customStyle="1" w:styleId="71">
    <w:name w:val="修订1"/>
    <w:hidden/>
    <w:semiHidden/>
    <w:qFormat/>
    <w:uiPriority w:val="99"/>
    <w:rPr>
      <w:rFonts w:ascii="等线" w:hAnsi="微软雅黑" w:eastAsia="等线" w:cs="Times New Roman"/>
      <w:kern w:val="2"/>
      <w:sz w:val="21"/>
      <w:szCs w:val="22"/>
      <w:lang w:val="en-US" w:eastAsia="zh-CN" w:bidi="ar-SA"/>
    </w:rPr>
  </w:style>
  <w:style w:type="character" w:customStyle="1" w:styleId="72">
    <w:name w:val="标题 3 字符"/>
    <w:basedOn w:val="22"/>
    <w:link w:val="4"/>
    <w:semiHidden/>
    <w:qFormat/>
    <w:uiPriority w:val="9"/>
    <w:rPr>
      <w:rFonts w:ascii="等线" w:hAnsi="微软雅黑" w:eastAsia="等线"/>
      <w:b/>
      <w:bCs/>
      <w:kern w:val="2"/>
      <w:sz w:val="32"/>
      <w:szCs w:val="32"/>
    </w:rPr>
  </w:style>
  <w:style w:type="table" w:customStyle="1" w:styleId="73">
    <w:name w:val="网格表 4 - 着色 511"/>
    <w:basedOn w:val="20"/>
    <w:qFormat/>
    <w:uiPriority w:val="49"/>
    <w:tblP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
    <w:tcPr>
      <w:shd w:val="clear" w:color="auto" w:fill="F1F1F1" w:themeFill="background1" w:themeFillShade="F2"/>
    </w:tc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insideV w:val="nil"/>
        </w:tcBorders>
        <w:shd w:val="clear" w:color="auto" w:fill="5B9BD5" w:themeFill="accent5"/>
      </w:tcPr>
    </w:tblStylePr>
    <w:tblStylePr w:type="lastRow">
      <w:rPr>
        <w:b/>
        <w:bCs/>
      </w:rPr>
      <w:tcPr>
        <w:tcBorders>
          <w:top w:val="double" w:color="5B9BD5" w:themeColor="accent5"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74">
    <w:name w:val="清单表 3 - 着色 51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75">
    <w:name w:val="清单表 4 - 着色 511"/>
    <w:basedOn w:val="20"/>
    <w:qFormat/>
    <w:uiPriority w:val="49"/>
    <w:tblPr>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tblBorders>
    </w:tbl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tcBorders>
        <w:shd w:val="clear" w:color="auto" w:fill="5B9BD5" w:themeFill="accent5"/>
      </w:tcPr>
    </w:tblStylePr>
    <w:tblStylePr w:type="lastRow">
      <w:rPr>
        <w:b/>
        <w:bCs/>
      </w:rPr>
      <w:tcPr>
        <w:tcBorders>
          <w:top w:val="doub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76">
    <w:name w:val="清单表 3 - 着色 52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77">
    <w:name w:val="清单表 3 - 着色 53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paragraph" w:customStyle="1" w:styleId="78">
    <w:name w:val="Revision"/>
    <w:hidden/>
    <w:semiHidden/>
    <w:qFormat/>
    <w:uiPriority w:val="99"/>
    <w:rPr>
      <w:rFonts w:ascii="等线" w:hAnsi="微软雅黑" w:eastAsia="等线"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0D8331-B7E1-4993-A3BB-9D1DD3E32759}">
  <ds:schemaRefs/>
</ds:datastoreItem>
</file>

<file path=docProps/app.xml><?xml version="1.0" encoding="utf-8"?>
<Properties xmlns="http://schemas.openxmlformats.org/officeDocument/2006/extended-properties" xmlns:vt="http://schemas.openxmlformats.org/officeDocument/2006/docPropsVTypes">
  <Template>Normal.dotm</Template>
  <Pages>45</Pages>
  <Words>34047</Words>
  <Characters>51256</Characters>
  <Lines>636</Lines>
  <Paragraphs>179</Paragraphs>
  <TotalTime>1</TotalTime>
  <ScaleCrop>false</ScaleCrop>
  <LinksUpToDate>false</LinksUpToDate>
  <CharactersWithSpaces>53011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2023-02-07T09:42:00Z</dcterms:created>
  <dc:creator>Wing Fu</dc:creator>
  <cp:lastModifiedBy>WPS_1689211275</cp:lastModifiedBy>
  <cp:lastPrinted>2019-04-11T07:11:00Z</cp:lastPrinted>
  <dcterms:modified xsi:type="dcterms:W3CDTF">2023-07-27T05:36:06Z</dcterms:modified>
  <cp:revision>63</cp:revision>
  <dc:description/>
  <dc:identifier/>
  <dc:language/>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5E6D3CDFDD494BBBAA2EB72488CD7239_13</vt:lpwstr>
  </property>
</Properties>
</file>